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AC" w:rsidRPr="00383EB6" w:rsidRDefault="002E21AC">
      <w:pPr>
        <w:pStyle w:val="Heading2"/>
        <w:rPr>
          <w:rFonts w:eastAsia="Times New Roman"/>
          <w:kern w:val="0"/>
          <w:sz w:val="20"/>
          <w:szCs w:val="20"/>
          <w14:ligatures w14:val="none"/>
        </w:rPr>
      </w:pPr>
      <w:r w:rsidRPr="00383EB6">
        <w:rPr>
          <w:rFonts w:eastAsia="Times New Roman"/>
          <w:sz w:val="20"/>
          <w:szCs w:val="20"/>
        </w:rPr>
        <w:t>Title</w:t>
      </w:r>
    </w:p>
    <w:p w:rsidR="002E21AC" w:rsidRPr="0091012D" w:rsidRDefault="002E21AC">
      <w:pPr>
        <w:divId w:val="1002051677"/>
        <w:rPr>
          <w:rFonts w:eastAsia="Times New Roman"/>
          <w:sz w:val="16"/>
          <w:szCs w:val="16"/>
        </w:rPr>
      </w:pPr>
      <w:r w:rsidRPr="0091012D">
        <w:rPr>
          <w:rFonts w:eastAsia="Times New Roman"/>
          <w:b/>
          <w:bCs/>
          <w:sz w:val="16"/>
          <w:szCs w:val="16"/>
        </w:rPr>
        <w:t>Distributed Edge-AI UAV &amp; Ground Sensing</w:t>
      </w:r>
      <w:r w:rsidR="00383EB6">
        <w:rPr>
          <w:rFonts w:eastAsia="Times New Roman"/>
          <w:b/>
          <w:bCs/>
          <w:sz w:val="16"/>
          <w:szCs w:val="16"/>
        </w:rPr>
        <w:t xml:space="preserve"> IOT WSN</w:t>
      </w:r>
      <w:r w:rsidRPr="0091012D">
        <w:rPr>
          <w:rFonts w:eastAsia="Times New Roman"/>
          <w:b/>
          <w:bCs/>
          <w:sz w:val="16"/>
          <w:szCs w:val="16"/>
        </w:rPr>
        <w:t xml:space="preserve"> Ecosystem for Multi-Tier Crop Health Analytics</w:t>
      </w:r>
    </w:p>
    <w:p w:rsidR="002E21AC" w:rsidRPr="00383EB6" w:rsidRDefault="002E21AC">
      <w:pPr>
        <w:pStyle w:val="Heading2"/>
        <w:rPr>
          <w:rFonts w:eastAsia="Times New Roman"/>
          <w:sz w:val="20"/>
          <w:szCs w:val="20"/>
        </w:rPr>
      </w:pPr>
      <w:r w:rsidRPr="00383EB6">
        <w:rPr>
          <w:rFonts w:eastAsia="Times New Roman"/>
          <w:sz w:val="20"/>
          <w:szCs w:val="20"/>
        </w:rPr>
        <w:t>Methodology</w:t>
      </w:r>
    </w:p>
    <w:p w:rsidR="002E21AC" w:rsidRPr="0091012D" w:rsidRDefault="002E21AC">
      <w:pPr>
        <w:divId w:val="1061556011"/>
        <w:rPr>
          <w:rFonts w:eastAsia="Times New Roman"/>
          <w:sz w:val="16"/>
          <w:szCs w:val="16"/>
        </w:rPr>
      </w:pPr>
      <w:r w:rsidRPr="0091012D">
        <w:rPr>
          <w:rFonts w:eastAsia="Times New Roman"/>
          <w:sz w:val="16"/>
          <w:szCs w:val="16"/>
        </w:rPr>
        <w:t xml:space="preserve">This platform delivers full-spectrum precision </w:t>
      </w:r>
      <w:proofErr w:type="spellStart"/>
      <w:r w:rsidRPr="0091012D">
        <w:rPr>
          <w:rFonts w:eastAsia="Times New Roman"/>
          <w:sz w:val="16"/>
          <w:szCs w:val="16"/>
        </w:rPr>
        <w:t>agritech</w:t>
      </w:r>
      <w:proofErr w:type="spellEnd"/>
      <w:r w:rsidRPr="0091012D">
        <w:rPr>
          <w:rFonts w:eastAsia="Times New Roman"/>
          <w:sz w:val="16"/>
          <w:szCs w:val="16"/>
        </w:rPr>
        <w:t xml:space="preserve"> analytics across diverse crop heights—from large mango trees to short wheat fields—entirely independent of cloud architecture. The system decouples critical processing domains into three hardware nodes. The </w:t>
      </w:r>
      <w:r w:rsidRPr="0091012D">
        <w:rPr>
          <w:rFonts w:eastAsia="Times New Roman"/>
          <w:b/>
          <w:bCs/>
          <w:sz w:val="16"/>
          <w:szCs w:val="16"/>
        </w:rPr>
        <w:t>UAV Flight Control Frame</w:t>
      </w:r>
      <w:r w:rsidRPr="0091012D">
        <w:rPr>
          <w:rFonts w:eastAsia="Times New Roman"/>
          <w:sz w:val="16"/>
          <w:szCs w:val="16"/>
        </w:rPr>
        <w:t xml:space="preserve"> isolates flight stability (handled by a dedicated STM32 flight controller running </w:t>
      </w:r>
      <w:proofErr w:type="spellStart"/>
      <w:r w:rsidRPr="0091012D">
        <w:rPr>
          <w:rFonts w:eastAsia="Times New Roman"/>
          <w:sz w:val="16"/>
          <w:szCs w:val="16"/>
        </w:rPr>
        <w:t>ArduPilot</w:t>
      </w:r>
      <w:proofErr w:type="spellEnd"/>
      <w:r w:rsidRPr="0091012D">
        <w:rPr>
          <w:rFonts w:eastAsia="Times New Roman"/>
          <w:sz w:val="16"/>
          <w:szCs w:val="16"/>
        </w:rPr>
        <w:t xml:space="preserve"> and a micro-sensor array) from the </w:t>
      </w:r>
      <w:r w:rsidRPr="0091012D">
        <w:rPr>
          <w:rFonts w:eastAsia="Times New Roman"/>
          <w:b/>
          <w:bCs/>
          <w:sz w:val="16"/>
          <w:szCs w:val="16"/>
        </w:rPr>
        <w:t>Detachable AI Analytics Payload</w:t>
      </w:r>
      <w:r w:rsidRPr="0091012D">
        <w:rPr>
          <w:rFonts w:eastAsia="Times New Roman"/>
          <w:sz w:val="16"/>
          <w:szCs w:val="16"/>
        </w:rPr>
        <w:t xml:space="preserve"> via </w:t>
      </w:r>
      <w:proofErr w:type="spellStart"/>
      <w:r w:rsidRPr="0091012D">
        <w:rPr>
          <w:rFonts w:eastAsia="Times New Roman"/>
          <w:sz w:val="16"/>
          <w:szCs w:val="16"/>
        </w:rPr>
        <w:t>optocouplers</w:t>
      </w:r>
      <w:proofErr w:type="spellEnd"/>
      <w:r w:rsidRPr="0091012D">
        <w:rPr>
          <w:rFonts w:eastAsia="Times New Roman"/>
          <w:sz w:val="16"/>
          <w:szCs w:val="16"/>
        </w:rPr>
        <w:t xml:space="preserve"> to prevent high-current inductive feedback.</w:t>
      </w:r>
    </w:p>
    <w:p w:rsidR="002E21AC" w:rsidRPr="0091012D" w:rsidRDefault="002E21AC">
      <w:pPr>
        <w:divId w:val="1794324577"/>
        <w:rPr>
          <w:rFonts w:eastAsia="Times New Roman"/>
          <w:sz w:val="16"/>
          <w:szCs w:val="16"/>
        </w:rPr>
      </w:pPr>
      <w:r w:rsidRPr="0091012D">
        <w:rPr>
          <w:rFonts w:eastAsia="Times New Roman"/>
          <w:sz w:val="16"/>
          <w:szCs w:val="16"/>
        </w:rPr>
        <w:t xml:space="preserve">The AI Payload combines an Arduino Nano ESP32 sensor hub with an Orange Pi 5 Pro companion computer (6 TOPS NPU) executing a three-tiered offline computer vision model (YOLOv26-Nano, MobileViTv2, CoAtNet-0) compiled via RKNN-Toolkit2. Ground data is acquired by the </w:t>
      </w:r>
      <w:r w:rsidRPr="0091012D">
        <w:rPr>
          <w:rFonts w:eastAsia="Times New Roman"/>
          <w:b/>
          <w:bCs/>
          <w:sz w:val="16"/>
          <w:szCs w:val="16"/>
        </w:rPr>
        <w:t>Core Ground Module</w:t>
      </w:r>
      <w:r w:rsidRPr="0091012D">
        <w:rPr>
          <w:rFonts w:eastAsia="Times New Roman"/>
          <w:sz w:val="16"/>
          <w:szCs w:val="16"/>
        </w:rPr>
        <w:t xml:space="preserve"> (Arduino Nano ESP32) polling capacitive soil moisture, micro-climate (BME280), and high-dynamic-range light sensors. Subsurface validation is scaled via a plug-and-play </w:t>
      </w:r>
      <w:r w:rsidRPr="0091012D">
        <w:rPr>
          <w:rFonts w:eastAsia="Times New Roman"/>
          <w:b/>
          <w:bCs/>
          <w:sz w:val="16"/>
          <w:szCs w:val="16"/>
        </w:rPr>
        <w:t>Add-On Module</w:t>
      </w:r>
      <w:r w:rsidRPr="0091012D">
        <w:rPr>
          <w:rFonts w:eastAsia="Times New Roman"/>
          <w:sz w:val="16"/>
          <w:szCs w:val="16"/>
        </w:rPr>
        <w:t xml:space="preserve"> powered by an ESP32-C6 coprocessor that manages a 7-in-1 NPK/pH/EC probe via RS485 Modbus alongside multi-depth moisture check matrices.</w:t>
      </w:r>
    </w:p>
    <w:p w:rsidR="002E21AC" w:rsidRPr="0091012D" w:rsidRDefault="002E21AC">
      <w:pPr>
        <w:divId w:val="57556990"/>
        <w:rPr>
          <w:rFonts w:eastAsia="Times New Roman"/>
          <w:sz w:val="16"/>
          <w:szCs w:val="16"/>
        </w:rPr>
      </w:pPr>
      <w:r w:rsidRPr="0091012D">
        <w:rPr>
          <w:rFonts w:eastAsia="Times New Roman"/>
          <w:sz w:val="16"/>
          <w:szCs w:val="16"/>
        </w:rPr>
        <w:t xml:space="preserve">Python-based </w:t>
      </w:r>
      <w:proofErr w:type="spellStart"/>
      <w:r w:rsidRPr="0091012D">
        <w:rPr>
          <w:rFonts w:eastAsia="Times New Roman"/>
          <w:sz w:val="16"/>
          <w:szCs w:val="16"/>
        </w:rPr>
        <w:t>TinyML</w:t>
      </w:r>
      <w:proofErr w:type="spellEnd"/>
      <w:r w:rsidRPr="0091012D">
        <w:rPr>
          <w:rFonts w:eastAsia="Times New Roman"/>
          <w:sz w:val="16"/>
          <w:szCs w:val="16"/>
        </w:rPr>
        <w:t xml:space="preserve"> (</w:t>
      </w:r>
      <w:proofErr w:type="spellStart"/>
      <w:r w:rsidRPr="0091012D">
        <w:rPr>
          <w:rFonts w:eastAsia="Times New Roman"/>
          <w:sz w:val="16"/>
          <w:szCs w:val="16"/>
        </w:rPr>
        <w:t>TensorFlow</w:t>
      </w:r>
      <w:proofErr w:type="spellEnd"/>
      <w:r w:rsidRPr="0091012D">
        <w:rPr>
          <w:rFonts w:eastAsia="Times New Roman"/>
          <w:sz w:val="16"/>
          <w:szCs w:val="16"/>
        </w:rPr>
        <w:t xml:space="preserve"> </w:t>
      </w:r>
      <w:proofErr w:type="spellStart"/>
      <w:r w:rsidRPr="0091012D">
        <w:rPr>
          <w:rFonts w:eastAsia="Times New Roman"/>
          <w:sz w:val="16"/>
          <w:szCs w:val="16"/>
        </w:rPr>
        <w:t>Lite</w:t>
      </w:r>
      <w:proofErr w:type="spellEnd"/>
      <w:r w:rsidRPr="0091012D">
        <w:rPr>
          <w:rFonts w:eastAsia="Times New Roman"/>
          <w:sz w:val="16"/>
          <w:szCs w:val="16"/>
        </w:rPr>
        <w:t xml:space="preserve"> Micro) operates natively on the ground boards, compressing telemetry into localized anomaly stress indexes. Ground-to-air telemetry runs connectionless over 2.4GHz ESP-NOW profiles during flight passes. Final unified field reports are fetched offline by the farmer via local Wi-Fi AP or BLE direct transmissions into a decentralized smartphone SQLite database.</w:t>
      </w:r>
    </w:p>
    <w:p w:rsidR="00B60E6E" w:rsidRPr="00DD147E" w:rsidRDefault="00763237" w:rsidP="00DD147E">
      <w:pPr>
        <w:pStyle w:val="Heading2"/>
        <w:rPr>
          <w:rFonts w:eastAsia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283845</wp:posOffset>
            </wp:positionV>
            <wp:extent cx="5736590" cy="3534410"/>
            <wp:effectExtent l="0" t="0" r="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1AC" w:rsidRPr="007A304D">
        <w:rPr>
          <w:rFonts w:eastAsia="Times New Roman"/>
          <w:sz w:val="20"/>
          <w:szCs w:val="20"/>
        </w:rPr>
        <w:t>Proposed Block Diagram</w:t>
      </w:r>
    </w:p>
    <w:p w:rsidR="002E21AC" w:rsidRPr="007A304D" w:rsidRDefault="002E21AC">
      <w:pPr>
        <w:pStyle w:val="Heading2"/>
        <w:rPr>
          <w:rFonts w:eastAsia="Times New Roman"/>
          <w:sz w:val="20"/>
          <w:szCs w:val="20"/>
        </w:rPr>
      </w:pPr>
      <w:r w:rsidRPr="007A304D">
        <w:rPr>
          <w:rFonts w:eastAsia="Times New Roman"/>
          <w:sz w:val="20"/>
          <w:szCs w:val="20"/>
        </w:rPr>
        <w:t>Proposed Outcome</w:t>
      </w:r>
    </w:p>
    <w:p w:rsidR="002E21AC" w:rsidRPr="00763237" w:rsidRDefault="002E21AC" w:rsidP="00763237">
      <w:pPr>
        <w:spacing w:before="240" w:after="240"/>
        <w:divId w:val="1377849236"/>
        <w:rPr>
          <w:rFonts w:eastAsia="Times New Roman"/>
          <w:sz w:val="16"/>
          <w:szCs w:val="16"/>
        </w:rPr>
      </w:pPr>
      <w:r w:rsidRPr="0091012D">
        <w:rPr>
          <w:rFonts w:eastAsia="Times New Roman"/>
          <w:sz w:val="16"/>
          <w:szCs w:val="16"/>
        </w:rPr>
        <w:t xml:space="preserve">The architecture establishes an affordable, ultra-reliable farming solution that avoids standard vulnerabilities. First, using structurally resilient </w:t>
      </w:r>
      <w:r w:rsidRPr="0091012D">
        <w:rPr>
          <w:rFonts w:eastAsia="Times New Roman"/>
          <w:b/>
          <w:bCs/>
          <w:sz w:val="16"/>
          <w:szCs w:val="16"/>
        </w:rPr>
        <w:t>3C LiFePO4 battery dynamics</w:t>
      </w:r>
      <w:r w:rsidRPr="0091012D">
        <w:rPr>
          <w:rFonts w:eastAsia="Times New Roman"/>
          <w:sz w:val="16"/>
          <w:szCs w:val="16"/>
        </w:rPr>
        <w:t xml:space="preserve"> managed by segmented, filtered power rails and emergency hardware-software shutdown interrupts completely eliminates field thermal runaway or crash-fire hazards. Second, </w:t>
      </w:r>
      <w:r w:rsidRPr="0091012D">
        <w:rPr>
          <w:rFonts w:eastAsia="Times New Roman"/>
          <w:b/>
          <w:bCs/>
          <w:sz w:val="16"/>
          <w:szCs w:val="16"/>
        </w:rPr>
        <w:t>100% offline edge execution</w:t>
      </w:r>
      <w:r w:rsidRPr="0091012D">
        <w:rPr>
          <w:rFonts w:eastAsia="Times New Roman"/>
          <w:sz w:val="16"/>
          <w:szCs w:val="16"/>
        </w:rPr>
        <w:t xml:space="preserve"> bypasses rural connectivity deficits, allowing real-time mapping of crop stress distributions without operational reliance on expensive cloud structures or specialized, toxic assemblies. Third, the plug-and-play non-toxic solderless modular design ensures rapid configuration adjustment and safe physical handling, delivering professional industrial-grade multi-tier analytic capabilities directly to resource-constrained agriculturalists.</w:t>
      </w:r>
    </w:p>
    <w:sectPr w:rsidR="002E21AC" w:rsidRPr="00763237" w:rsidSect="00CD0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AC"/>
    <w:rsid w:val="002E21AC"/>
    <w:rsid w:val="00383EB6"/>
    <w:rsid w:val="0073059D"/>
    <w:rsid w:val="00743E45"/>
    <w:rsid w:val="00763237"/>
    <w:rsid w:val="007A304D"/>
    <w:rsid w:val="0091012D"/>
    <w:rsid w:val="00B60E6E"/>
    <w:rsid w:val="00B77922"/>
    <w:rsid w:val="00BD7B08"/>
    <w:rsid w:val="00CD0668"/>
    <w:rsid w:val="00DD147E"/>
    <w:rsid w:val="00E56F5D"/>
    <w:rsid w:val="00FA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6FDC"/>
  <w15:chartTrackingRefBased/>
  <w15:docId w15:val="{E0F7B852-738A-D843-948D-4A5AF96E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1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E21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1A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21A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4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6990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1677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011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9236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577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597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15</cp:revision>
  <dcterms:created xsi:type="dcterms:W3CDTF">2026-10-10T16:00:00Z</dcterms:created>
  <dcterms:modified xsi:type="dcterms:W3CDTF">2026-10-10T17:25:00Z</dcterms:modified>
</cp:coreProperties>
</file>