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60" w:before="200"/>
        <w:jc w:val="center"/>
      </w:pPr>
      <w:r>
        <w:rPr>
          <w:rFonts w:ascii="Calibri" w:cs="Calibri" w:eastAsia="Calibri" w:hAnsi="Calibri"/>
          <w:b/>
          <w:bCs/>
          <w:color w:val="1A3C5E"/>
          <w:sz w:val="80"/>
          <w:szCs w:val="80"/>
        </w:rPr>
        <w:t xml:space="preserve">TCMS ERP</w:t>
      </w:r>
    </w:p>
    <w:p>
      <w:pPr>
        <w:spacing w:after="40" w:before="40"/>
        <w:jc w:val="center"/>
      </w:pPr>
      <w:r>
        <w:rPr>
          <w:rFonts w:ascii="Calibri" w:cs="Calibri" w:eastAsia="Calibri" w:hAnsi="Calibri"/>
          <w:b/>
          <w:bCs/>
          <w:color w:val="2563A8"/>
          <w:sz w:val="44"/>
          <w:szCs w:val="44"/>
        </w:rPr>
        <w:t xml:space="preserve">Standard Operating Procedures</w:t>
      </w:r>
    </w:p>
    <w:p>
      <w:pPr>
        <w:spacing w:after="200" w:before="20"/>
        <w:jc w:val="center"/>
      </w:pPr>
      <w:r>
        <w:rPr>
          <w:rFonts w:ascii="Calibri" w:cs="Calibri" w:eastAsia="Calibri" w:hAnsi="Calibri"/>
          <w:color w:val="444444"/>
          <w:sz w:val="28"/>
          <w:szCs w:val="28"/>
        </w:rPr>
        <w:t xml:space="preserve">School, College &amp; Coaching Institute Edition</w:t>
      </w:r>
    </w:p>
    <w:p>
      <w:pPr>
        <w:pBdr>
          <w:bottom w:val="single" w:color="2563A8" w:sz="6" w:space="1"/>
        </w:pBdr>
        <w:spacing w:after="100" w:before="10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Document Type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Standard Operating Procedure (SOP)</w:t>
            </w:r>
          </w:p>
        </w:tc>
      </w:tr>
      <w:tr>
        <w:tc>
          <w:tcPr>
            <w:tcW w:type="dxa" w:w="468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System</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TCMS ERP — Tuition, Coaching &amp; Education Management System</w:t>
            </w:r>
          </w:p>
        </w:tc>
      </w:tr>
      <w:tr>
        <w:tc>
          <w:tcPr>
            <w:tcW w:type="dxa" w:w="468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Scope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Schools, Colleges, Coaching Institutes, Tuition Centers, Multi-Branch Education Businesses</w:t>
            </w:r>
          </w:p>
        </w:tc>
      </w:tr>
      <w:tr>
        <w:tc>
          <w:tcPr>
            <w:tcW w:type="dxa" w:w="468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v2.0 — Best Practice Edition</w:t>
            </w:r>
          </w:p>
        </w:tc>
      </w:tr>
      <w:tr>
        <w:tc>
          <w:tcPr>
            <w:tcW w:type="dxa" w:w="468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Audience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Super Admin, Institute Owner, Branch Admin, Accountant, Receptionist, Teacher, Auditor</w:t>
            </w:r>
          </w:p>
        </w:tc>
      </w:tr>
      <w:tr>
        <w:tc>
          <w:tcPr>
            <w:tcW w:type="dxa" w:w="468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Active — Mandatory for all staff</w:t>
            </w:r>
          </w:p>
        </w:tc>
      </w:tr>
    </w:tbl>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1"/>
              <w:left w:val="single" w:color="0F5132" w:sz="14"/>
              <w:bottom w:val="single" w:color="0F5132" w:sz="1"/>
              <w:right w:val="single" w:color="0F5132" w:sz="1"/>
            </w:tcBorders>
            <w:shd w:fill="D1E7DD" w:val="clear"/>
            <w:tcMar>
              <w:top w:type="dxa" w:w="120"/>
              <w:left w:type="dxa" w:w="240"/>
              <w:bottom w:type="dxa" w:w="120"/>
              <w:right w:type="dxa" w:w="200"/>
            </w:tcMar>
          </w:tcPr>
          <w:p>
            <w:pPr>
              <w:spacing w:after="40" w:before="0"/>
            </w:pPr>
            <w:r>
              <w:rPr>
                <w:rFonts w:ascii="Calibri" w:cs="Calibri" w:eastAsia="Calibri" w:hAnsi="Calibri"/>
                <w:b/>
                <w:bCs/>
                <w:color w:val="0F5132"/>
                <w:sz w:val="18"/>
                <w:szCs w:val="18"/>
              </w:rPr>
              <w:t xml:space="preserve">✔ RULE</w:t>
            </w:r>
          </w:p>
          <w:p>
            <w:pPr>
              <w:spacing w:after="0" w:before="0"/>
            </w:pPr>
            <w:r>
              <w:rPr>
                <w:rFonts w:ascii="Calibri" w:cs="Calibri" w:eastAsia="Calibri" w:hAnsi="Calibri"/>
                <w:color w:val="111111"/>
                <w:sz w:val="19"/>
                <w:szCs w:val="19"/>
              </w:rPr>
              <w:t xml:space="preserve">These SOPs govern every operational, financial, and administrative workflow in TCMS ERP. Every staff member must read and follow the SOP relevant to their role. No exceptions. Financial SOPs are mandatory compliance documents — deviating from them constitutes a policy violation.</w:t>
            </w:r>
          </w:p>
        </w:tc>
      </w:tr>
    </w:tbl>
    <w:p>
      <w:r>
        <w:br w:type="page"/>
      </w:r>
    </w:p>
    <w:p>
      <w:pPr>
        <w:pStyle w:val="Heading1"/>
        <w:spacing w:after="160" w:before="360"/>
      </w:pPr>
      <w:r>
        <w:rPr>
          <w:rFonts w:ascii="Calibri" w:cs="Calibri" w:eastAsia="Calibri" w:hAnsi="Calibri"/>
          <w:b/>
          <w:bCs/>
          <w:color w:val="1A3C5E"/>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A3C5E"/>
          <w:sz w:val="40"/>
          <w:szCs w:val="40"/>
        </w:rPr>
        <w:t xml:space="preserve">1. ROLES, RESPONSIBILITIES &amp; PERMISSION BOUNDARIES</w:t>
      </w:r>
    </w:p>
    <w:p>
      <w:pPr>
        <w:pBdr>
          <w:bottom w:val="single" w:color="2563A8" w:sz="6" w:space="1"/>
        </w:pBdr>
        <w:spacing w:after="100" w:before="100"/>
      </w:pPr>
      <w:r>
        <w:t xml:space="preserve"/>
      </w:r>
    </w:p>
    <w:p>
      <w:pPr>
        <w:spacing w:after="60" w:before="60"/>
        <w:jc w:val="left"/>
      </w:pPr>
      <w:r>
        <w:rPr>
          <w:rFonts w:ascii="Calibri" w:cs="Calibri" w:eastAsia="Calibri" w:hAnsi="Calibri"/>
          <w:b w:val="false"/>
          <w:bCs w:val="false"/>
          <w:i w:val="false"/>
          <w:iCs w:val="false"/>
          <w:color w:val="111111"/>
          <w:sz w:val="20"/>
          <w:szCs w:val="20"/>
        </w:rPr>
        <w:t xml:space="preserve">Every action in TCMS ERP is governed by a role. A role determines what a person can see, create, approve, and delete. No role can override another role's restriction through the frontend. All permission checks are enforced by the backend server.</w:t>
      </w:r>
    </w:p>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1.1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rPr>
          <w:tblHeader/>
        </w:trPr>
        <w:tc>
          <w:tcPr>
            <w:tcW w:type="dxa" w:w="18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Role</w:t>
            </w:r>
          </w:p>
        </w:tc>
        <w:tc>
          <w:tcPr>
            <w:tcW w:type="dxa" w:w="18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Typical Person</w:t>
            </w:r>
          </w:p>
        </w:tc>
        <w:tc>
          <w:tcPr>
            <w:tcW w:type="dxa" w:w="32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Can Do</w:t>
            </w:r>
          </w:p>
        </w:tc>
        <w:tc>
          <w:tcPr>
            <w:tcW w:type="dxa" w:w="25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Cannot Do</w:t>
            </w:r>
          </w:p>
        </w:tc>
      </w:tr>
      <w:tr>
        <w:tc>
          <w:tcPr>
            <w:tcW w:type="dxa" w:w="18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Super Admin</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System Owner / IT Admin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All modules. All branches. System configuration. User creation. Role assignment. Period close. Audit access.</w:t>
            </w:r>
          </w:p>
        </w:tc>
        <w:tc>
          <w:tcPr>
            <w:tcW w:type="dxa" w:w="2560"/>
            <w:tcBorders>
              <w:top w:val="single" w:color="CCCCCC" w:sz="1"/>
              <w:left w:val="single" w:color="CCCCCC" w:sz="1"/>
              <w:bottom w:val="single" w:color="CCCCCC" w:sz="1"/>
              <w:right w:val="single" w:color="CCCCCC" w:sz="1"/>
            </w:tcBorders>
            <w:shd w:fill="FADADD"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A52020"/>
                <w:sz w:val="18"/>
                <w:szCs w:val="18"/>
              </w:rPr>
              <w:t xml:space="preserve">Nothing — full access. Use this role sparingly.</w:t>
            </w:r>
          </w:p>
        </w:tc>
      </w:tr>
      <w:tr>
        <w:tc>
          <w:tcPr>
            <w:tcW w:type="dxa" w:w="18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Institute Owner</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Principal / Director / Proprietor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All dashboards. Revenue and expense reports. Branch comparisons. Approval overrides. High-level configuration.</w:t>
            </w:r>
          </w:p>
        </w:tc>
        <w:tc>
          <w:tcPr>
            <w:tcW w:type="dxa" w:w="2560"/>
            <w:tcBorders>
              <w:top w:val="single" w:color="CCCCCC" w:sz="1"/>
              <w:left w:val="single" w:color="CCCCCC" w:sz="1"/>
              <w:bottom w:val="single" w:color="CCCCCC" w:sz="1"/>
              <w:right w:val="single" w:color="CCCCCC" w:sz="1"/>
            </w:tcBorders>
            <w:shd w:fill="FADADD"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A52020"/>
                <w:sz w:val="18"/>
                <w:szCs w:val="18"/>
              </w:rPr>
              <w:t xml:space="preserve">Cannot directly post journal entries or delete financial records.</w:t>
            </w:r>
          </w:p>
        </w:tc>
      </w:tr>
      <w:tr>
        <w:tc>
          <w:tcPr>
            <w:tcW w:type="dxa" w:w="18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Branch Admin</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Branch Manager / Coordinator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All operations within assigned branch: students, classes, enrollments, draft payments, local reports.</w:t>
            </w:r>
          </w:p>
        </w:tc>
        <w:tc>
          <w:tcPr>
            <w:tcW w:type="dxa" w:w="2560"/>
            <w:tcBorders>
              <w:top w:val="single" w:color="CCCCCC" w:sz="1"/>
              <w:left w:val="single" w:color="CCCCCC" w:sz="1"/>
              <w:bottom w:val="single" w:color="CCCCCC" w:sz="1"/>
              <w:right w:val="single" w:color="CCCCCC" w:sz="1"/>
            </w:tcBorders>
            <w:shd w:fill="FADADD"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A52020"/>
                <w:sz w:val="18"/>
                <w:szCs w:val="18"/>
              </w:rPr>
              <w:t xml:space="preserve">Cannot access other branches' data. Cannot approve payments above defined threshold. Cannot close accounting periods.</w:t>
            </w:r>
          </w:p>
        </w:tc>
      </w:tr>
      <w:tr>
        <w:tc>
          <w:tcPr>
            <w:tcW w:type="dxa" w:w="18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Finance Officer / Accounts Staff</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Approve/post payments. Teacher payments. Journal entries. Ledger. Bank reconciliation. Period close. Financial reports.</w:t>
            </w:r>
          </w:p>
        </w:tc>
        <w:tc>
          <w:tcPr>
            <w:tcW w:type="dxa" w:w="2560"/>
            <w:tcBorders>
              <w:top w:val="single" w:color="CCCCCC" w:sz="1"/>
              <w:left w:val="single" w:color="CCCCCC" w:sz="1"/>
              <w:bottom w:val="single" w:color="CCCCCC" w:sz="1"/>
              <w:right w:val="single" w:color="CCCCCC" w:sz="1"/>
            </w:tcBorders>
            <w:shd w:fill="FADADD"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A52020"/>
                <w:sz w:val="18"/>
                <w:szCs w:val="18"/>
              </w:rPr>
              <w:t xml:space="preserve">Cannot approve their own payments (maker-checker rule). Cannot delete posted records.</w:t>
            </w:r>
          </w:p>
        </w:tc>
      </w:tr>
      <w:tr>
        <w:tc>
          <w:tcPr>
            <w:tcW w:type="dxa" w:w="18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Front Desk / Admission Staff</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Create student profiles. Record inquiries. Draft fee payments. Upload documents. View class and enrollment info.</w:t>
            </w:r>
          </w:p>
        </w:tc>
        <w:tc>
          <w:tcPr>
            <w:tcW w:type="dxa" w:w="2560"/>
            <w:tcBorders>
              <w:top w:val="single" w:color="CCCCCC" w:sz="1"/>
              <w:left w:val="single" w:color="CCCCCC" w:sz="1"/>
              <w:bottom w:val="single" w:color="CCCCCC" w:sz="1"/>
              <w:right w:val="single" w:color="CCCCCC" w:sz="1"/>
            </w:tcBorders>
            <w:shd w:fill="FADADD"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A52020"/>
                <w:sz w:val="18"/>
                <w:szCs w:val="18"/>
              </w:rPr>
              <w:t xml:space="preserve">Cannot approve payments. Cannot view teacher payment details. Cannot access accounting journals.</w:t>
            </w:r>
          </w:p>
        </w:tc>
      </w:tr>
      <w:tr>
        <w:tc>
          <w:tcPr>
            <w:tcW w:type="dxa" w:w="18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Teacher</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Faculty Member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View assigned classes and student lists. View own earning summary. Future: attendance, exam marks.</w:t>
            </w:r>
          </w:p>
        </w:tc>
        <w:tc>
          <w:tcPr>
            <w:tcW w:type="dxa" w:w="2560"/>
            <w:tcBorders>
              <w:top w:val="single" w:color="CCCCCC" w:sz="1"/>
              <w:left w:val="single" w:color="CCCCCC" w:sz="1"/>
              <w:bottom w:val="single" w:color="CCCCCC" w:sz="1"/>
              <w:right w:val="single" w:color="CCCCCC" w:sz="1"/>
            </w:tcBorders>
            <w:shd w:fill="FADADD"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A52020"/>
                <w:sz w:val="18"/>
                <w:szCs w:val="18"/>
              </w:rPr>
              <w:t xml:space="preserve">Cannot access other teachers' earnings. Cannot view student financial details. Cannot modify enrollments.</w:t>
            </w:r>
          </w:p>
        </w:tc>
      </w:tr>
      <w:tr>
        <w:tc>
          <w:tcPr>
            <w:tcW w:type="dxa" w:w="18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Auditor</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Internal / External Auditor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Read-only access to all financial records, journal entries, audit logs, reports.</w:t>
            </w:r>
          </w:p>
        </w:tc>
        <w:tc>
          <w:tcPr>
            <w:tcW w:type="dxa" w:w="2560"/>
            <w:tcBorders>
              <w:top w:val="single" w:color="CCCCCC" w:sz="1"/>
              <w:left w:val="single" w:color="CCCCCC" w:sz="1"/>
              <w:bottom w:val="single" w:color="CCCCCC" w:sz="1"/>
              <w:right w:val="single" w:color="CCCCCC" w:sz="1"/>
            </w:tcBorders>
            <w:shd w:fill="FADADD"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A52020"/>
                <w:sz w:val="18"/>
                <w:szCs w:val="18"/>
              </w:rPr>
              <w:t xml:space="preserve">Cannot create, modify, or delete any record. Cannot export bulk data without separate Export permission.</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1.2 The Maker-Checker Rule (Mandatory for All Financial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1"/>
              <w:left w:val="single" w:color="0F5132" w:sz="14"/>
              <w:bottom w:val="single" w:color="0F5132" w:sz="1"/>
              <w:right w:val="single" w:color="0F5132" w:sz="1"/>
            </w:tcBorders>
            <w:shd w:fill="D1E7DD" w:val="clear"/>
            <w:tcMar>
              <w:top w:type="dxa" w:w="120"/>
              <w:left w:type="dxa" w:w="240"/>
              <w:bottom w:type="dxa" w:w="120"/>
              <w:right w:type="dxa" w:w="200"/>
            </w:tcMar>
          </w:tcPr>
          <w:p>
            <w:pPr>
              <w:spacing w:after="40" w:before="0"/>
            </w:pPr>
            <w:r>
              <w:rPr>
                <w:rFonts w:ascii="Calibri" w:cs="Calibri" w:eastAsia="Calibri" w:hAnsi="Calibri"/>
                <w:b/>
                <w:bCs/>
                <w:color w:val="0F5132"/>
                <w:sz w:val="18"/>
                <w:szCs w:val="18"/>
              </w:rPr>
              <w:t xml:space="preserve">✔ RULE</w:t>
            </w:r>
          </w:p>
          <w:p>
            <w:pPr>
              <w:spacing w:after="0" w:before="0"/>
            </w:pPr>
            <w:r>
              <w:rPr>
                <w:rFonts w:ascii="Calibri" w:cs="Calibri" w:eastAsia="Calibri" w:hAnsi="Calibri"/>
                <w:color w:val="111111"/>
                <w:sz w:val="19"/>
                <w:szCs w:val="19"/>
              </w:rPr>
              <w:t xml:space="preserve">The person who creates a financial transaction (maker) cannot be the same person who approves it (checker). This rule applies to: student payments, teacher payments, discounts above threshold, journal entries, and period closing. This is a fraud-prevention control and cannot be bypassed.</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1.3 Branch-Level Data Isolation</w:t>
      </w:r>
    </w:p>
    <w:p>
      <w:pPr>
        <w:pStyle w:val="ListParagraph"/>
        <w:numPr>
          <w:ilvl w:val="0"/>
          <w:numId w:val="2"/>
        </w:numPr>
        <w:spacing w:after="40" w:before="40"/>
      </w:pPr>
      <w:r>
        <w:rPr>
          <w:rFonts w:ascii="Calibri" w:cs="Calibri" w:eastAsia="Calibri" w:hAnsi="Calibri"/>
          <w:color w:val="111111"/>
          <w:sz w:val="20"/>
          <w:szCs w:val="20"/>
        </w:rPr>
        <w:t xml:space="preserve">A Branch Admin or Receptionist can only see data belonging to their assigned branch.</w:t>
      </w:r>
    </w:p>
    <w:p>
      <w:pPr>
        <w:pStyle w:val="ListParagraph"/>
        <w:numPr>
          <w:ilvl w:val="0"/>
          <w:numId w:val="2"/>
        </w:numPr>
        <w:spacing w:after="40" w:before="40"/>
      </w:pPr>
      <w:r>
        <w:rPr>
          <w:rFonts w:ascii="Calibri" w:cs="Calibri" w:eastAsia="Calibri" w:hAnsi="Calibri"/>
          <w:color w:val="111111"/>
          <w:sz w:val="20"/>
          <w:szCs w:val="20"/>
        </w:rPr>
        <w:t xml:space="preserve">Reports generated by a Branch Admin are scoped to their branch only.</w:t>
      </w:r>
    </w:p>
    <w:p>
      <w:pPr>
        <w:pStyle w:val="ListParagraph"/>
        <w:numPr>
          <w:ilvl w:val="0"/>
          <w:numId w:val="2"/>
        </w:numPr>
        <w:spacing w:after="40" w:before="40"/>
      </w:pPr>
      <w:r>
        <w:rPr>
          <w:rFonts w:ascii="Calibri" w:cs="Calibri" w:eastAsia="Calibri" w:hAnsi="Calibri"/>
          <w:color w:val="111111"/>
          <w:sz w:val="20"/>
          <w:szCs w:val="20"/>
        </w:rPr>
        <w:t xml:space="preserve">Super Admin and Institute Owner can view all branches.</w:t>
      </w:r>
    </w:p>
    <w:p>
      <w:pPr>
        <w:pStyle w:val="ListParagraph"/>
        <w:numPr>
          <w:ilvl w:val="0"/>
          <w:numId w:val="2"/>
        </w:numPr>
        <w:spacing w:after="40" w:before="40"/>
      </w:pPr>
      <w:r>
        <w:rPr>
          <w:rFonts w:ascii="Calibri" w:cs="Calibri" w:eastAsia="Calibri" w:hAnsi="Calibri"/>
          <w:color w:val="111111"/>
          <w:sz w:val="20"/>
          <w:szCs w:val="20"/>
        </w:rPr>
        <w:t xml:space="preserve">Accountants can be assigned to one or all branches depending on organization setup.</w:t>
      </w:r>
    </w:p>
    <w:p>
      <w:pPr>
        <w:spacing w:after="40" w:before="40"/>
      </w:pPr>
      <w:r>
        <w:t xml:space="preserve"/>
      </w:r>
    </w:p>
    <w:p>
      <w:r>
        <w:br w:type="page"/>
      </w:r>
    </w:p>
    <w:p>
      <w:pPr>
        <w:pStyle w:val="Heading1"/>
        <w:spacing w:after="160" w:before="360"/>
      </w:pPr>
      <w:r>
        <w:rPr>
          <w:rFonts w:ascii="Calibri" w:cs="Calibri" w:eastAsia="Calibri" w:hAnsi="Calibri"/>
          <w:b/>
          <w:bCs/>
          <w:color w:val="1A3C5E"/>
          <w:sz w:val="40"/>
          <w:szCs w:val="40"/>
        </w:rPr>
        <w:t xml:space="preserve">2. SYSTEM SETUP SOP</w:t>
      </w:r>
    </w:p>
    <w:p>
      <w:pPr>
        <w:pBdr>
          <w:bottom w:val="single" w:color="2563A8" w:sz="6" w:space="1"/>
        </w:pBdr>
        <w:spacing w:after="100" w:before="100"/>
      </w:pPr>
      <w:r>
        <w:t xml:space="preserve"/>
      </w:r>
    </w:p>
    <w:p>
      <w:pPr>
        <w:spacing w:after="60" w:before="60"/>
        <w:jc w:val="left"/>
      </w:pPr>
      <w:r>
        <w:rPr>
          <w:rFonts w:ascii="Calibri" w:cs="Calibri" w:eastAsia="Calibri" w:hAnsi="Calibri"/>
          <w:b w:val="false"/>
          <w:bCs w:val="false"/>
          <w:i w:val="false"/>
          <w:iCs w:val="false"/>
          <w:color w:val="111111"/>
          <w:sz w:val="20"/>
          <w:szCs w:val="20"/>
        </w:rPr>
        <w:t xml:space="preserve">System setup must be completed by the Super Admin before any other user begins operations. Performing setup incorrectly will affect fee calculations, accounting periods, and report accuracy for the entire academic year. Do not skip or rush setup.</w:t>
      </w:r>
    </w:p>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2.1 Initial System Setup —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60"/>
        <w:gridCol w:w="23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Responsible</w:t>
            </w:r>
          </w:p>
        </w:tc>
        <w:tc>
          <w:tcPr>
            <w:tcW w:type="dxa" w:w="44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Action</w:t>
            </w:r>
          </w:p>
        </w:tc>
        <w:tc>
          <w:tcPr>
            <w:tcW w:type="dxa" w:w="23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Notes / Rules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Super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Create the Organization profile: legal name, display name, address, registration number, VAT/PAN number, logo, contact.</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Required before anything else. VAT number must be correct — it appears on all invoices.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Super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Create Branches (if multi-branch). For single-branch institutes, create one branch named after the institute.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Every student, class, and financial record is branch-scoped.</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Super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Create the Chart of Accounts from the standard template. Assign account codes (1000-series assets, 2000-series liabilities, 3000-series equity, 4000-series revenue, 5000-series expenses).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Never rename or delete a system account once transactions have been posted against it.</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4</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Super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Configure Tax Rates: VAT 13% (if applicable), TDS rates for teacher payments, any applicable education-sector levies.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Nepal: VAT applies to registered businesses. Confirm with your CA before enabling.</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5</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Super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Create the current Academic Year (BS year). The system will set start and end dates using the Nepali calendar.</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Only one academic year can be active at a time. Do not create future years until needed.</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6</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Super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Create Accounting Periods for the active academic year (monthly periods recommended: Shrawan to Ashadh).</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Periods must cover the full academic year without gaps.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7</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Super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Post Opening Journal Entries for any prior balances: student receivables, cash in hand, bank balance, owner capital.</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Opening balances must be entered as journal entries in an opening period, not as data fields.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8</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Super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Create user accounts for all staff. Assign roles and branches. Set temporary passwords and force password change on first login.</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Never share user accounts. Each person must have their own login.</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9</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Super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Configure the Approval Matrix: who can approve what, above what amount, and who the escalation approver is.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At minimum: payments above Rs. 5,000 require accountant approval; above Rs. 50,000 require owner/admin approval.</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2.2 Academic Year Rollover SOP (Annual)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C00" w:sz="1"/>
              <w:left w:val="single" w:color="C05C00" w:sz="14"/>
              <w:bottom w:val="single" w:color="C05C00" w:sz="1"/>
              <w:right w:val="single" w:color="C05C00" w:sz="1"/>
            </w:tcBorders>
            <w:shd w:fill="FFF0E0" w:val="clear"/>
            <w:tcMar>
              <w:top w:type="dxa" w:w="120"/>
              <w:left w:type="dxa" w:w="240"/>
              <w:bottom w:type="dxa" w:w="120"/>
              <w:right w:type="dxa" w:w="200"/>
            </w:tcMar>
          </w:tcPr>
          <w:p>
            <w:pPr>
              <w:spacing w:after="40" w:before="0"/>
            </w:pPr>
            <w:r>
              <w:rPr>
                <w:rFonts w:ascii="Calibri" w:cs="Calibri" w:eastAsia="Calibri" w:hAnsi="Calibri"/>
                <w:b/>
                <w:bCs/>
                <w:color w:val="C05C00"/>
                <w:sz w:val="18"/>
                <w:szCs w:val="18"/>
              </w:rPr>
              <w:t xml:space="preserve">⚠ IMPORTANT</w:t>
            </w:r>
          </w:p>
          <w:p>
            <w:pPr>
              <w:spacing w:after="0" w:before="0"/>
            </w:pPr>
            <w:r>
              <w:rPr>
                <w:rFonts w:ascii="Calibri" w:cs="Calibri" w:eastAsia="Calibri" w:hAnsi="Calibri"/>
                <w:color w:val="111111"/>
                <w:sz w:val="19"/>
                <w:szCs w:val="19"/>
              </w:rPr>
              <w:t xml:space="preserve">Perform academic year rollover only after the previous year's accounts are fully reconciled and the final accounting period is hard-closed. Never run two active academic years simultaneously.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60"/>
        <w:gridCol w:w="23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Responsible</w:t>
            </w:r>
          </w:p>
        </w:tc>
        <w:tc>
          <w:tcPr>
            <w:tcW w:type="dxa" w:w="44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Action</w:t>
            </w:r>
          </w:p>
        </w:tc>
        <w:tc>
          <w:tcPr>
            <w:tcW w:type="dxa" w:w="23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Notes / Rules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Complete all pending payment approvals for the outgoing academic year.</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No unapproved payments should remain when the year closes.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Run the Trial Balance. Confirm it balances (debit total = credit total). Save a PDF copy.</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Any imbalance must be investigated and corrected before proceeding.</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Post closing journal entries: close all revenue and expense accounts to Retained Earnings / Income Summary.</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Dr. All Revenue accounts; Cr. Income Summary. Dr. Income Summary; Cr. All Expense accounts. Dr/Cr Income Summary to Retained Earnings.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4</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Soft-close all accounting periods of the outgoing year.</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Soft-close allows correction-only posting. Hard-close only after audit sign-off.</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5</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Super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Create the new Academic Year and its monthly accounting periods.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System auto-calculates BS calendar dates.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6</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Post opening journal entries for the new year: carry forward asset and liability balances.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Only balance sheet accounts carry forward. Revenue and expense accounts start at zero.</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7</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Super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Hard-close the outgoing academic year after the annual audit is complete.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Hard-closed years cannot be posted to under any circumstance.</w:t>
            </w:r>
          </w:p>
        </w:tc>
      </w:tr>
    </w:tbl>
    <w:p>
      <w:pPr>
        <w:spacing w:after="40" w:before="40"/>
      </w:pPr>
      <w:r>
        <w:t xml:space="preserve"/>
      </w:r>
    </w:p>
    <w:p>
      <w:r>
        <w:br w:type="page"/>
      </w:r>
    </w:p>
    <w:p>
      <w:pPr>
        <w:pStyle w:val="Heading1"/>
        <w:spacing w:after="160" w:before="360"/>
      </w:pPr>
      <w:r>
        <w:rPr>
          <w:rFonts w:ascii="Calibri" w:cs="Calibri" w:eastAsia="Calibri" w:hAnsi="Calibri"/>
          <w:b/>
          <w:bCs/>
          <w:color w:val="1A3C5E"/>
          <w:sz w:val="40"/>
          <w:szCs w:val="40"/>
        </w:rPr>
        <w:t xml:space="preserve">3. STUDENT ADMISSION SOP</w:t>
      </w:r>
    </w:p>
    <w:p>
      <w:pPr>
        <w:pBdr>
          <w:bottom w:val="single" w:color="2563A8" w:sz="6" w:space="1"/>
        </w:pBdr>
        <w:spacing w:after="100" w:before="100"/>
      </w:pPr>
      <w:r>
        <w:t xml:space="preserve"/>
      </w:r>
    </w:p>
    <w:p>
      <w:pPr>
        <w:spacing w:after="60" w:before="60"/>
        <w:jc w:val="left"/>
      </w:pPr>
      <w:r>
        <w:rPr>
          <w:rFonts w:ascii="Calibri" w:cs="Calibri" w:eastAsia="Calibri" w:hAnsi="Calibri"/>
          <w:b w:val="false"/>
          <w:bCs w:val="false"/>
          <w:i w:val="false"/>
          <w:iCs w:val="false"/>
          <w:color w:val="111111"/>
          <w:sz w:val="20"/>
          <w:szCs w:val="20"/>
        </w:rPr>
        <w:t xml:space="preserve">Student admission is the first operational workflow. Every student must go through this process before they can be enrolled in a class or charged a fee. Incomplete admissions must not be enrolled.</w:t>
      </w:r>
    </w:p>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3.1 New Student Admission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60"/>
        <w:gridCol w:w="23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Responsible</w:t>
            </w:r>
          </w:p>
        </w:tc>
        <w:tc>
          <w:tcPr>
            <w:tcW w:type="dxa" w:w="44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Action</w:t>
            </w:r>
          </w:p>
        </w:tc>
        <w:tc>
          <w:tcPr>
            <w:tcW w:type="dxa" w:w="23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Notes / Rules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Receive the student inquiry — in person, phone, or online form. Record inquiry in the system with: student name, guardian name, contact number, interested class/subject, source of inquiry.</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An inquiry record is not an admission. Do not create a student profile until the family confirms intent.</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Schedule and confirm the admission appointment. Inform the guardian of required documents: previous school/college marks sheet or certificate, citizenship copy (guardian), 2 passport photos, birth certificate.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Document checklist must match institute policy. Schools may require transfer certificate (TC).</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Create the Student Profile: full name (as per certificate), date of birth (BS and AD), gender, photo, current class/grade, school or college name, permanent and temporary address.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Name must exactly match official documents. Spelling errors cause problems in certificates and ledgers.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4</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Add Guardian/Family details: father name, mother name, local guardian (if different), contact numbers, occupation, relationship.</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At least one active guardian contact is mandatory for admission.</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5</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Upload scanned documents: previous marks sheet, birth certificate, photos. Tag each document with type and academic year.</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File size limit: 2MB per file. Accepted formats: PDF, JPG, PNG.</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6</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Record Academic History: previous school/college name, grade/class attended, board/university, result (Pass/Fail/GPA/Percentage).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For college students: record intermediate or bachelor marks as applicable.</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7</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 / Branch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Set student status to Pending Approval and submit for review.</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Receptionists cannot directly activate a student. Approval is required.</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8</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Branch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Review the profile for completeness. Verify required documents are uploaded. Approve admission — student status changes to Active.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If documents are incomplete, send back to Pending with a reason note. Do not approve with missing critical documents.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9</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System</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System assigns a unique Admission Number to the student upon activation.</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Admission numbers are auto-generated and cannot be manually changed.</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10</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Inform the guardian that admission is confirmed. Hand over the admission confirmation slip or send by SMS/email.</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Always give a written or digital confirmation to the guardian.</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3.2 Student Re-Admission (Returning Student)</w:t>
      </w:r>
    </w:p>
    <w:p>
      <w:pPr>
        <w:pStyle w:val="ListParagraph"/>
        <w:numPr>
          <w:ilvl w:val="0"/>
          <w:numId w:val="2"/>
        </w:numPr>
        <w:spacing w:after="40" w:before="40"/>
      </w:pPr>
      <w:r>
        <w:rPr>
          <w:rFonts w:ascii="Calibri" w:cs="Calibri" w:eastAsia="Calibri" w:hAnsi="Calibri"/>
          <w:color w:val="111111"/>
          <w:sz w:val="20"/>
          <w:szCs w:val="20"/>
        </w:rPr>
        <w:t xml:space="preserve">A student who has previously left or graduated must be re-admitted through the same process as a new student.</w:t>
      </w:r>
    </w:p>
    <w:p>
      <w:pPr>
        <w:pStyle w:val="ListParagraph"/>
        <w:numPr>
          <w:ilvl w:val="0"/>
          <w:numId w:val="2"/>
        </w:numPr>
        <w:spacing w:after="40" w:before="40"/>
      </w:pPr>
      <w:r>
        <w:rPr>
          <w:rFonts w:ascii="Calibri" w:cs="Calibri" w:eastAsia="Calibri" w:hAnsi="Calibri"/>
          <w:color w:val="111111"/>
          <w:sz w:val="20"/>
          <w:szCs w:val="20"/>
        </w:rPr>
        <w:t xml:space="preserve">Do NOT reactivate old profiles that were marked as Left or Graduated. Create a new admission linked to the previous profile if continuity records are needed.</w:t>
      </w:r>
    </w:p>
    <w:p>
      <w:pPr>
        <w:pStyle w:val="ListParagraph"/>
        <w:numPr>
          <w:ilvl w:val="0"/>
          <w:numId w:val="2"/>
        </w:numPr>
        <w:spacing w:after="40" w:before="40"/>
      </w:pPr>
      <w:r>
        <w:rPr>
          <w:rFonts w:ascii="Calibri" w:cs="Calibri" w:eastAsia="Calibri" w:hAnsi="Calibri"/>
          <w:color w:val="111111"/>
          <w:sz w:val="20"/>
          <w:szCs w:val="20"/>
        </w:rPr>
        <w:t xml:space="preserve">Previous fee dues must be resolved before re-admission if institute policy requires it.</w:t>
      </w:r>
    </w:p>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3.3 Student Status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Status</w:t>
            </w:r>
          </w:p>
        </w:tc>
        <w:tc>
          <w:tcPr>
            <w:tcW w:type="dxa" w:w="63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Meaning / When to Use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Inquiry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Initial contact only. No profile created yet.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Pending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Profile created, awaiting document verification and Branch Admin approval.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Active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Fully admitted. Can be enrolled in classes and charged fees.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On Break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Enrolled but temporarily absent (medical, travel). Fee rules per enrollment break policy.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Left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Student has withdrawn. All dues must be settled or written off before closing.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Graduated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Completed the program. Profile becomes read-only. Certificates can be issued.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Rejected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Application denied after review. Reason must be recorded.</w:t>
            </w:r>
          </w:p>
        </w:tc>
      </w:tr>
    </w:tbl>
    <w:p>
      <w:pPr>
        <w:spacing w:after="40" w:before="40"/>
      </w:pPr>
      <w:r>
        <w:t xml:space="preserve"/>
      </w:r>
    </w:p>
    <w:p>
      <w:r>
        <w:br w:type="page"/>
      </w:r>
    </w:p>
    <w:p>
      <w:pPr>
        <w:pStyle w:val="Heading1"/>
        <w:spacing w:after="160" w:before="360"/>
      </w:pPr>
      <w:r>
        <w:rPr>
          <w:rFonts w:ascii="Calibri" w:cs="Calibri" w:eastAsia="Calibri" w:hAnsi="Calibri"/>
          <w:b/>
          <w:bCs/>
          <w:color w:val="1A3C5E"/>
          <w:sz w:val="40"/>
          <w:szCs w:val="40"/>
        </w:rPr>
        <w:t xml:space="preserve">4. CLASS MANAGEMENT &amp; ENROLLMENT SOP</w:t>
      </w:r>
    </w:p>
    <w:p>
      <w:pPr>
        <w:pBdr>
          <w:bottom w:val="single" w:color="2563A8" w:sz="6" w:space="1"/>
        </w:pBdr>
        <w:spacing w:after="100" w:before="100"/>
      </w:pPr>
      <w:r>
        <w:t xml:space="preserve"/>
      </w:r>
    </w:p>
    <w:p>
      <w:pPr>
        <w:pStyle w:val="Heading2"/>
        <w:spacing w:after="120" w:before="280"/>
      </w:pPr>
      <w:r>
        <w:rPr>
          <w:rFonts w:ascii="Calibri" w:cs="Calibri" w:eastAsia="Calibri" w:hAnsi="Calibri"/>
          <w:b/>
          <w:bCs/>
          <w:color w:val="2563A8"/>
          <w:sz w:val="30"/>
          <w:szCs w:val="30"/>
        </w:rPr>
        <w:t xml:space="preserve">4.1 Creating a New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60"/>
        <w:gridCol w:w="23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Responsible</w:t>
            </w:r>
          </w:p>
        </w:tc>
        <w:tc>
          <w:tcPr>
            <w:tcW w:type="dxa" w:w="44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Action</w:t>
            </w:r>
          </w:p>
        </w:tc>
        <w:tc>
          <w:tcPr>
            <w:tcW w:type="dxa" w:w="23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Notes / Rules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Branch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Create Class record: class name, batch (morning/day/evening), section (A/B/C), academic year, branch, assigned teacher, start date, expected end date, capacity.</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Class name + batch + section must be unique within the academic year.</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Branch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Set the Fee Plan: monthly fee amount, fee type (tuition/admission/exam), payment due rule (fixed BS date, end of BS month, etc.), due day.</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For package courses (full course fee): set teacher payment type to Package and enter total package amount.</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Branch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Set the Teacher Cut Percentage: the percentage of each collected fee that goes to the teacher.</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This drives the automatic teacher earning calculation. Confirm with the teacher's contract before saving.</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4</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Branch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Assign subjects to the class if required.</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Subjects are informational; they do not affect fee calculation unless separately configured.</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5</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Branch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Set class status to Active.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Only active classes can receive new enrollments.</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4.2 Student Enrollment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1"/>
              <w:left w:val="single" w:color="0F5132" w:sz="14"/>
              <w:bottom w:val="single" w:color="0F5132" w:sz="1"/>
              <w:right w:val="single" w:color="0F5132" w:sz="1"/>
            </w:tcBorders>
            <w:shd w:fill="D1E7DD" w:val="clear"/>
            <w:tcMar>
              <w:top w:type="dxa" w:w="120"/>
              <w:left w:type="dxa" w:w="240"/>
              <w:bottom w:type="dxa" w:w="120"/>
              <w:right w:type="dxa" w:w="200"/>
            </w:tcMar>
          </w:tcPr>
          <w:p>
            <w:pPr>
              <w:spacing w:after="40" w:before="0"/>
            </w:pPr>
            <w:r>
              <w:rPr>
                <w:rFonts w:ascii="Calibri" w:cs="Calibri" w:eastAsia="Calibri" w:hAnsi="Calibri"/>
                <w:b/>
                <w:bCs/>
                <w:color w:val="0F5132"/>
                <w:sz w:val="18"/>
                <w:szCs w:val="18"/>
              </w:rPr>
              <w:t xml:space="preserve">✔ RULE</w:t>
            </w:r>
          </w:p>
          <w:p>
            <w:pPr>
              <w:spacing w:after="0" w:before="0"/>
            </w:pPr>
            <w:r>
              <w:rPr>
                <w:rFonts w:ascii="Calibri" w:cs="Calibri" w:eastAsia="Calibri" w:hAnsi="Calibri"/>
                <w:color w:val="111111"/>
                <w:sz w:val="19"/>
                <w:szCs w:val="19"/>
              </w:rPr>
              <w:t xml:space="preserve">A student must be Active (admitted) before they can be enrolled. Enrollment creates the contractual relationship between the student and the class, and determines all future fee dues.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60"/>
        <w:gridCol w:w="23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Responsible</w:t>
            </w:r>
          </w:p>
        </w:tc>
        <w:tc>
          <w:tcPr>
            <w:tcW w:type="dxa" w:w="44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Action</w:t>
            </w:r>
          </w:p>
        </w:tc>
        <w:tc>
          <w:tcPr>
            <w:tcW w:type="dxa" w:w="23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Notes / Rules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 / Branch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Search for the student by name or admission number. Verify student status is Active.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If status is not Active, resolve admission first.</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 / Branch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Select the class and batch. System checks: (a) class is active, (b) class has capacity, (c) student is not already enrolled in this class.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Duplicate enrollment in the same class is blocked by the system.</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 / Branch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Set the Joined Date (the date fee calculation begins from). For BS-calendar institutes, set in BS date — the system converts to AD internally.</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Joined date determines the first due period. Set this carefully — it affects the student's first invoice.</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4</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 / Branch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Apply discount if applicable (scholarships, sibling discount, merit). Enter discount percentage or fixed amount. Add discount reason.</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Discounts above the configured threshold require Branch Admin or higher approval.</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5</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 / Branch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Confirm and save enrollment. Enrollment status is set to Active.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Saving enrollment triggers automatic teacher earning record creation for the associated teacher.</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6</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System / 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System schedules or the accountant manually triggers fee due generation for the enrollment according to the class fee plan.</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Fee dues should not be generated more than one month in advance for monthly classes.</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4.3 Enrollment Break SOP</w:t>
      </w:r>
    </w:p>
    <w:p>
      <w:pPr>
        <w:spacing w:after="60" w:before="60"/>
        <w:jc w:val="left"/>
      </w:pPr>
      <w:r>
        <w:rPr>
          <w:rFonts w:ascii="Calibri" w:cs="Calibri" w:eastAsia="Calibri" w:hAnsi="Calibri"/>
          <w:b w:val="false"/>
          <w:bCs w:val="false"/>
          <w:i w:val="false"/>
          <w:iCs w:val="false"/>
          <w:color w:val="111111"/>
          <w:sz w:val="20"/>
          <w:szCs w:val="20"/>
        </w:rPr>
        <w:t xml:space="preserve">An enrollment break suspends fee generation for a student during a defined period (illness, family event, exams at another institution). Breaks do not end the enrollment.</w:t>
      </w:r>
    </w:p>
    <w:p>
      <w:pPr>
        <w:pStyle w:val="ListParagraph"/>
        <w:numPr>
          <w:ilvl w:val="0"/>
          <w:numId w:val="2"/>
        </w:numPr>
        <w:spacing w:after="40" w:before="40"/>
      </w:pPr>
      <w:r>
        <w:rPr>
          <w:rFonts w:ascii="Calibri" w:cs="Calibri" w:eastAsia="Calibri" w:hAnsi="Calibri"/>
          <w:color w:val="111111"/>
          <w:sz w:val="20"/>
          <w:szCs w:val="20"/>
        </w:rPr>
        <w:t xml:space="preserve">Receptionist records the break start date, expected return date, and reason.</w:t>
      </w:r>
    </w:p>
    <w:p>
      <w:pPr>
        <w:pStyle w:val="ListParagraph"/>
        <w:numPr>
          <w:ilvl w:val="0"/>
          <w:numId w:val="2"/>
        </w:numPr>
        <w:spacing w:after="40" w:before="40"/>
      </w:pPr>
      <w:r>
        <w:rPr>
          <w:rFonts w:ascii="Calibri" w:cs="Calibri" w:eastAsia="Calibri" w:hAnsi="Calibri"/>
          <w:color w:val="111111"/>
          <w:sz w:val="20"/>
          <w:szCs w:val="20"/>
        </w:rPr>
        <w:t xml:space="preserve">Branch Admin approves the break.</w:t>
      </w:r>
    </w:p>
    <w:p>
      <w:pPr>
        <w:pStyle w:val="ListParagraph"/>
        <w:numPr>
          <w:ilvl w:val="0"/>
          <w:numId w:val="2"/>
        </w:numPr>
        <w:spacing w:after="40" w:before="40"/>
      </w:pPr>
      <w:r>
        <w:rPr>
          <w:rFonts w:ascii="Calibri" w:cs="Calibri" w:eastAsia="Calibri" w:hAnsi="Calibri"/>
          <w:color w:val="111111"/>
          <w:sz w:val="20"/>
          <w:szCs w:val="20"/>
        </w:rPr>
        <w:t xml:space="preserve">System stops generating dues for the break period.</w:t>
      </w:r>
    </w:p>
    <w:p>
      <w:pPr>
        <w:pStyle w:val="ListParagraph"/>
        <w:numPr>
          <w:ilvl w:val="0"/>
          <w:numId w:val="2"/>
        </w:numPr>
        <w:spacing w:after="40" w:before="40"/>
      </w:pPr>
      <w:r>
        <w:rPr>
          <w:rFonts w:ascii="Calibri" w:cs="Calibri" w:eastAsia="Calibri" w:hAnsi="Calibri"/>
          <w:color w:val="111111"/>
          <w:sz w:val="20"/>
          <w:szCs w:val="20"/>
        </w:rPr>
        <w:t xml:space="preserve">When the student returns, the receptionist records the return date and reactivates due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C00" w:sz="1"/>
              <w:left w:val="single" w:color="C05C00" w:sz="14"/>
              <w:bottom w:val="single" w:color="C05C00" w:sz="1"/>
              <w:right w:val="single" w:color="C05C00" w:sz="1"/>
            </w:tcBorders>
            <w:shd w:fill="FFF0E0" w:val="clear"/>
            <w:tcMar>
              <w:top w:type="dxa" w:w="120"/>
              <w:left w:type="dxa" w:w="240"/>
              <w:bottom w:type="dxa" w:w="120"/>
              <w:right w:type="dxa" w:w="200"/>
            </w:tcMar>
          </w:tcPr>
          <w:p>
            <w:pPr>
              <w:spacing w:after="40" w:before="0"/>
            </w:pPr>
            <w:r>
              <w:rPr>
                <w:rFonts w:ascii="Calibri" w:cs="Calibri" w:eastAsia="Calibri" w:hAnsi="Calibri"/>
                <w:b/>
                <w:bCs/>
                <w:color w:val="C05C00"/>
                <w:sz w:val="18"/>
                <w:szCs w:val="18"/>
              </w:rPr>
              <w:t xml:space="preserve">⚠ IMPORTANT</w:t>
            </w:r>
          </w:p>
          <w:p>
            <w:pPr>
              <w:spacing w:after="0" w:before="0"/>
            </w:pPr>
            <w:r>
              <w:rPr>
                <w:rFonts w:ascii="Calibri" w:cs="Calibri" w:eastAsia="Calibri" w:hAnsi="Calibri"/>
                <w:color w:val="111111"/>
                <w:sz w:val="19"/>
                <w:szCs w:val="19"/>
              </w:rPr>
              <w:t xml:space="preserve">Fee dues generated before the break was entered must be handled manually — the system will not automatically cancel them. The accountant must void or adjust pre-generated dues that fall within the break period.</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4.4 Student Left / Withdrawal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60"/>
        <w:gridCol w:w="23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Responsible</w:t>
            </w:r>
          </w:p>
        </w:tc>
        <w:tc>
          <w:tcPr>
            <w:tcW w:type="dxa" w:w="44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Action</w:t>
            </w:r>
          </w:p>
        </w:tc>
        <w:tc>
          <w:tcPr>
            <w:tcW w:type="dxa" w:w="23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Notes / Rules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Record the last date of attendance and reason for leaving. Set enrollment status to Left.</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Do this on or before the actual leaving date. Do not leave enrollment as Active after the student leaves.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Review all open dues for this student and this enrollment. Cancel dues that fall after the left date.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Dues generated for months the student did not attend must be cancelled with a reason note.</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Collect any outstanding balance due up to the left date. Process final payment if applicable.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Never clear a balance without an actual payment receipt.</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4</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If the student has an advance balance, process a refund per the Refund SOP (Section 5.6).</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Advance refunds require Branch Admin approval.</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5</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Branch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Update student status to Left. Archive the enrollment.</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Left students appear in historical reports but not in active student counts.</w:t>
            </w:r>
          </w:p>
        </w:tc>
      </w:tr>
    </w:tbl>
    <w:p>
      <w:pPr>
        <w:spacing w:after="40" w:before="40"/>
      </w:pPr>
      <w:r>
        <w:t xml:space="preserve"/>
      </w:r>
    </w:p>
    <w:p>
      <w:r>
        <w:br w:type="page"/>
      </w:r>
    </w:p>
    <w:p>
      <w:pPr>
        <w:pStyle w:val="Heading1"/>
        <w:spacing w:after="160" w:before="360"/>
      </w:pPr>
      <w:r>
        <w:rPr>
          <w:rFonts w:ascii="Calibri" w:cs="Calibri" w:eastAsia="Calibri" w:hAnsi="Calibri"/>
          <w:b/>
          <w:bCs/>
          <w:color w:val="1A3C5E"/>
          <w:sz w:val="40"/>
          <w:szCs w:val="40"/>
        </w:rPr>
        <w:t xml:space="preserve">5. FEE MANAGEMENT &amp; PAYMENT SOP</w:t>
      </w:r>
    </w:p>
    <w:p>
      <w:pPr>
        <w:pBdr>
          <w:bottom w:val="single" w:color="2563A8" w:sz="6"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2020" w:sz="1"/>
              <w:left w:val="single" w:color="A52020" w:sz="14"/>
              <w:bottom w:val="single" w:color="A52020" w:sz="1"/>
              <w:right w:val="single" w:color="A52020" w:sz="1"/>
            </w:tcBorders>
            <w:shd w:fill="FADADD" w:val="clear"/>
            <w:tcMar>
              <w:top w:type="dxa" w:w="120"/>
              <w:left w:type="dxa" w:w="240"/>
              <w:bottom w:type="dxa" w:w="120"/>
              <w:right w:type="dxa" w:w="200"/>
            </w:tcMar>
          </w:tcPr>
          <w:p>
            <w:pPr>
              <w:spacing w:after="40" w:before="0"/>
            </w:pPr>
            <w:r>
              <w:rPr>
                <w:rFonts w:ascii="Calibri" w:cs="Calibri" w:eastAsia="Calibri" w:hAnsi="Calibri"/>
                <w:b/>
                <w:bCs/>
                <w:color w:val="A52020"/>
                <w:sz w:val="18"/>
                <w:szCs w:val="18"/>
              </w:rPr>
              <w:t xml:space="preserve">✖ CRITICAL</w:t>
            </w:r>
          </w:p>
          <w:p>
            <w:pPr>
              <w:spacing w:after="0" w:before="0"/>
            </w:pPr>
            <w:r>
              <w:rPr>
                <w:rFonts w:ascii="Calibri" w:cs="Calibri" w:eastAsia="Calibri" w:hAnsi="Calibri"/>
                <w:color w:val="111111"/>
                <w:sz w:val="19"/>
                <w:szCs w:val="19"/>
              </w:rPr>
              <w:t xml:space="preserve">Fee management is the highest-risk operational area. Every step involving money must be performed correctly and approved by the right person. Never accept cash without issuing a receipt. Never record a payment without collecting the money first.</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5.1 Fee Due Generation</w:t>
      </w:r>
    </w:p>
    <w:p>
      <w:pPr>
        <w:spacing w:after="60" w:before="60"/>
        <w:jc w:val="left"/>
      </w:pPr>
      <w:r>
        <w:rPr>
          <w:rFonts w:ascii="Calibri" w:cs="Calibri" w:eastAsia="Calibri" w:hAnsi="Calibri"/>
          <w:b w:val="false"/>
          <w:bCs w:val="false"/>
          <w:i w:val="false"/>
          <w:iCs w:val="false"/>
          <w:color w:val="111111"/>
          <w:sz w:val="20"/>
          <w:szCs w:val="20"/>
        </w:rPr>
        <w:t xml:space="preserve">Fee dues are the formal record of what a student owes for a given period. They must exist in the system before a payment can be recorded against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60"/>
        <w:gridCol w:w="23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Responsible</w:t>
            </w:r>
          </w:p>
        </w:tc>
        <w:tc>
          <w:tcPr>
            <w:tcW w:type="dxa" w:w="44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Action</w:t>
            </w:r>
          </w:p>
        </w:tc>
        <w:tc>
          <w:tcPr>
            <w:tcW w:type="dxa" w:w="23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Notes / Rules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System (Celery) / 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At the start of each billing period (monthly for most classes), the system auto-generates dues based on the enrollment's fee plan. For manual generation, the accountant runs the "Generate Dues" action for the period.</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For BS-calendar-based institutes, dues should be generated on the first day of each Nepali month.</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System</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Each due record contains: student, class, enrollment, period label (e.g., Shrawan 2081), due date, amount, status (Unpaid).</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The due amount reflects the class monthly fee minus any enrollment-level discount.</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Review auto-generated dues for anomalies: students on break, students who left, incorrect amounts.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Fix anomalies before approving. Cancel dues for students on break or who have left.</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4</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Approve the dues batch. System posts the accounting journal entry: Dr Student Receivable / Cr Tuition Fee Revenue.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Never approve dues for a student who is no longer enrolled or on break.</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5.2 Fee Collection (Cash)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60"/>
        <w:gridCol w:w="23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Responsible</w:t>
            </w:r>
          </w:p>
        </w:tc>
        <w:tc>
          <w:tcPr>
            <w:tcW w:type="dxa" w:w="44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Action</w:t>
            </w:r>
          </w:p>
        </w:tc>
        <w:tc>
          <w:tcPr>
            <w:tcW w:type="dxa" w:w="23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Notes / Rules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Student or guardian comes to pay. Confirm student identity and look up open dues.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Always verify the student by admission number, not just by name — common names can cause errors.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Show the student their open dues list. Confirm the amount to be paid. If the student wants to pay a specific month, select that due.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Partial payment is allowed. The system will record the partial amount and leave the remainder as balance.</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Collect the exact cash amount. Count it in front of the student.</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Do not accept torn, mutilated, or counterfeit notes. Institute policy governs this.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4</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Record the payment in TCMS: student, amount, payment method (Cash), payment date (today), receipt allocation (which dues this payment covers).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Payment date must be the actual date of collection, not a future or past date.</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5</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Save the payment as Draft. System assigns a draft receipt number.</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Draft payments are visible to the accountant for approval. The student does not yet have an official receipt.</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6</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Print or show the draft acknowledgement slip to the student. Inform them that the official receipt will be issued after approval.</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In smaller institutes where the accountant is present, approval and receipt can happen immediately.</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7</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Review the draft payment: verify amount, date, method, allocated dues. Approve the payment.</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Maker-checker: the accountant who approves cannot be the same person who created the draft.</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8</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System</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System posts the journal entry: Dr Cash in Hand / Cr Student Receivable. Receipt status changes to Approved. Official receipt number is assigned from the PostgreSQL sequence.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Receipt numbers are permanent and immutable once assigned.</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9</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 / 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Print and hand over the official receipt to the student/guardian.</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Receipts must carry: receipt number, date, student name, admission number, amount, dues covered, payment method, signature of authorized staff.</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5.3 Fee Collection (Bank Transfer / Online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60"/>
        <w:gridCol w:w="23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Responsible</w:t>
            </w:r>
          </w:p>
        </w:tc>
        <w:tc>
          <w:tcPr>
            <w:tcW w:type="dxa" w:w="44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Action</w:t>
            </w:r>
          </w:p>
        </w:tc>
        <w:tc>
          <w:tcPr>
            <w:tcW w:type="dxa" w:w="23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Notes / Rules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Student / Guardian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Transfers fee to the institute's bank account or online wallet. Shares transaction reference / screenshot.</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The institute must have a dedicated fee-collection bank account. Never share personal accounts.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Record the payment in TCMS: select payment method as Bank or Online, enter the bank transaction reference number, upload screenshot if available.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Reference number is mandatory for bank and online payments. This is needed for bank reconciliation.</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Verify the payment against the bank statement or online wallet dashboard before approving.</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Never approve a bank payment without confirming it appears in the bank record. Screenshots can be faked.</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4</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Approve the verified payment. System posts: Dr Bank Account / Cr Student Receivable.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If the bank payment is not confirmed within 3 working days, return the draft to the receptionist with a note.</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5.4 Advance Fee Payment</w:t>
      </w:r>
    </w:p>
    <w:p>
      <w:pPr>
        <w:spacing w:after="60" w:before="60"/>
        <w:jc w:val="left"/>
      </w:pPr>
      <w:r>
        <w:rPr>
          <w:rFonts w:ascii="Calibri" w:cs="Calibri" w:eastAsia="Calibri" w:hAnsi="Calibri"/>
          <w:b w:val="false"/>
          <w:bCs w:val="false"/>
          <w:i w:val="false"/>
          <w:iCs w:val="false"/>
          <w:color w:val="111111"/>
          <w:sz w:val="20"/>
          <w:szCs w:val="20"/>
        </w:rPr>
        <w:t xml:space="preserve">Some students or guardians pay fees in advance before dues are generated. This must be handled carefully to avoid inflating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60"/>
        <w:gridCol w:w="23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Responsible</w:t>
            </w:r>
          </w:p>
        </w:tc>
        <w:tc>
          <w:tcPr>
            <w:tcW w:type="dxa" w:w="44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Action</w:t>
            </w:r>
          </w:p>
        </w:tc>
        <w:tc>
          <w:tcPr>
            <w:tcW w:type="dxa" w:w="23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Notes / Rules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Mark the payment as Advance when recording. Do not link it to a specific due.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Advance payments must NOT be posted directly to revenue.</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Approve the advance payment. System posts: Dr Cash in Hand (or Bank) / Cr Student Advance Revenue (Liability account 2210).</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The advance sits as a liability until applied to actual dues.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System / 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When a due is generated for this student, the system (or accountant) applies the advance: Dr Student Advance Revenue / Cr Student Receivable.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Advance application reduces both the advance liability and the receivable.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1"/>
              <w:left w:val="single" w:color="0F5132" w:sz="14"/>
              <w:bottom w:val="single" w:color="0F5132" w:sz="1"/>
              <w:right w:val="single" w:color="0F5132" w:sz="1"/>
            </w:tcBorders>
            <w:shd w:fill="D1E7DD" w:val="clear"/>
            <w:tcMar>
              <w:top w:type="dxa" w:w="120"/>
              <w:left w:type="dxa" w:w="240"/>
              <w:bottom w:type="dxa" w:w="120"/>
              <w:right w:type="dxa" w:w="200"/>
            </w:tcMar>
          </w:tcPr>
          <w:p>
            <w:pPr>
              <w:spacing w:after="40" w:before="0"/>
            </w:pPr>
            <w:r>
              <w:rPr>
                <w:rFonts w:ascii="Calibri" w:cs="Calibri" w:eastAsia="Calibri" w:hAnsi="Calibri"/>
                <w:b/>
                <w:bCs/>
                <w:color w:val="0F5132"/>
                <w:sz w:val="18"/>
                <w:szCs w:val="18"/>
              </w:rPr>
              <w:t xml:space="preserve">✔ RULE</w:t>
            </w:r>
          </w:p>
          <w:p>
            <w:pPr>
              <w:spacing w:after="0" w:before="0"/>
            </w:pPr>
            <w:r>
              <w:rPr>
                <w:rFonts w:ascii="Calibri" w:cs="Calibri" w:eastAsia="Calibri" w:hAnsi="Calibri"/>
                <w:color w:val="111111"/>
                <w:sz w:val="19"/>
                <w:szCs w:val="19"/>
              </w:rPr>
              <w:t xml:space="preserve">Do not post advance payments directly to Tuition Fee Revenue. Revenue is only recognized when the service period has occurred. Advance payments are a liability (you owe the student the service) until the service is delivered.</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5.5 Discount and Concession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Discount Type</w:t>
            </w:r>
          </w:p>
        </w:tc>
        <w:tc>
          <w:tcPr>
            <w:tcW w:type="dxa" w:w="63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Process &amp; Approval Required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Merit / Scholarship Discount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Approved by Branch Admin before enrollment. Recorded at enrollment level. Auto-applied to all dues.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Sibling / Family Discount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Approved by Branch Admin before enrollment. Recorded at enrollment level.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One-Time Hardship Discount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Applied after invoice generation. Requires Branch Admin approval with written reason. Amount limited to 50% of due.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Full Waiver (Write-Off)</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Applied as Bad Debt Expense, not a discount. Requires Institute Owner approval. Accounting entry: Dr Discount/Bad Debt Expense / Cr Student Receivable.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Bulk Discount (School/College contract)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Negotiated at class level. Applied as enrollment discount. Requires Owner approval.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1"/>
              <w:left w:val="single" w:color="0F5132" w:sz="14"/>
              <w:bottom w:val="single" w:color="0F5132" w:sz="1"/>
              <w:right w:val="single" w:color="0F5132" w:sz="1"/>
            </w:tcBorders>
            <w:shd w:fill="D1E7DD" w:val="clear"/>
            <w:tcMar>
              <w:top w:type="dxa" w:w="120"/>
              <w:left w:type="dxa" w:w="240"/>
              <w:bottom w:type="dxa" w:w="120"/>
              <w:right w:type="dxa" w:w="200"/>
            </w:tcMar>
          </w:tcPr>
          <w:p>
            <w:pPr>
              <w:spacing w:after="40" w:before="0"/>
            </w:pPr>
            <w:r>
              <w:rPr>
                <w:rFonts w:ascii="Calibri" w:cs="Calibri" w:eastAsia="Calibri" w:hAnsi="Calibri"/>
                <w:b/>
                <w:bCs/>
                <w:color w:val="0F5132"/>
                <w:sz w:val="18"/>
                <w:szCs w:val="18"/>
              </w:rPr>
              <w:t xml:space="preserve">✔ RULE</w:t>
            </w:r>
          </w:p>
          <w:p>
            <w:pPr>
              <w:spacing w:after="0" w:before="0"/>
            </w:pPr>
            <w:r>
              <w:rPr>
                <w:rFonts w:ascii="Calibri" w:cs="Calibri" w:eastAsia="Calibri" w:hAnsi="Calibri"/>
                <w:color w:val="111111"/>
                <w:sz w:val="19"/>
                <w:szCs w:val="19"/>
              </w:rPr>
              <w:t xml:space="preserve">A discount reduces the receivable. A waiver is a write-off. These have different accounting entries and must not be confused. Never apply a full waiver without written authorization from the institute owner.</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5.6 Refund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60"/>
        <w:gridCol w:w="23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Responsible</w:t>
            </w:r>
          </w:p>
        </w:tc>
        <w:tc>
          <w:tcPr>
            <w:tcW w:type="dxa" w:w="44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Action</w:t>
            </w:r>
          </w:p>
        </w:tc>
        <w:tc>
          <w:tcPr>
            <w:tcW w:type="dxa" w:w="23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Notes / Rules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 / Guardian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Guardian submits written refund request (physical or email). Reason: student leaving, overpayment, cancelled admission.</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Verbal refund requests are not accepted. Written request is mandatory.</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Branch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Review refund eligibility based on institute refund policy (e.g., 80% refund if leaving within 7 days of enrollment, 50% within 30 days).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The refund policy must be documented and given to guardians at admission time.</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Branch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Approve refund and specify amount. System creates a Refund record linked to the original payment.</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Partial refunds are allowed. Full refunds only if no service was consumed.</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4</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Process the refund: Dr Student Advance Revenue or Tuition Fee Revenue (as applicable) / Cr Cash in Hand or Bank Account.</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Never process a refund without branch admin approval and original payment reference.</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5</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Issue a Refund Voucher to the guardian. Record the voucher number and date.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Refund vouchers must be numbered and tracked separately from receipts.</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5.7 Late Fine SOP</w:t>
      </w:r>
    </w:p>
    <w:p>
      <w:pPr>
        <w:pStyle w:val="ListParagraph"/>
        <w:numPr>
          <w:ilvl w:val="0"/>
          <w:numId w:val="2"/>
        </w:numPr>
        <w:spacing w:after="40" w:before="40"/>
      </w:pPr>
      <w:r>
        <w:rPr>
          <w:rFonts w:ascii="Calibri" w:cs="Calibri" w:eastAsia="Calibri" w:hAnsi="Calibri"/>
          <w:color w:val="111111"/>
          <w:sz w:val="20"/>
          <w:szCs w:val="20"/>
        </w:rPr>
        <w:t xml:space="preserve">Fines are charged when payment is received after the due date, per institute policy (e.g., Rs. 50/day or Rs. 500 flat after 15 days).</w:t>
      </w:r>
    </w:p>
    <w:p>
      <w:pPr>
        <w:pStyle w:val="ListParagraph"/>
        <w:numPr>
          <w:ilvl w:val="0"/>
          <w:numId w:val="2"/>
        </w:numPr>
        <w:spacing w:after="40" w:before="40"/>
      </w:pPr>
      <w:r>
        <w:rPr>
          <w:rFonts w:ascii="Calibri" w:cs="Calibri" w:eastAsia="Calibri" w:hAnsi="Calibri"/>
          <w:color w:val="111111"/>
          <w:sz w:val="20"/>
          <w:szCs w:val="20"/>
        </w:rPr>
        <w:t xml:space="preserve">The receptionist records the fine amount when recording the payment. The system adds it to the payment total.</w:t>
      </w:r>
    </w:p>
    <w:p>
      <w:pPr>
        <w:pStyle w:val="ListParagraph"/>
        <w:numPr>
          <w:ilvl w:val="0"/>
          <w:numId w:val="2"/>
        </w:numPr>
        <w:spacing w:after="40" w:before="40"/>
      </w:pPr>
      <w:r>
        <w:rPr>
          <w:rFonts w:ascii="Calibri" w:cs="Calibri" w:eastAsia="Calibri" w:hAnsi="Calibri"/>
          <w:color w:val="111111"/>
          <w:sz w:val="20"/>
          <w:szCs w:val="20"/>
        </w:rPr>
        <w:t xml:space="preserve">Fine accounting entry: Dr Student Receivable / Cr Fine Income (account 4400). This is posted when the fine is confirmed, not when the due is created.</w:t>
      </w:r>
    </w:p>
    <w:p>
      <w:pPr>
        <w:pStyle w:val="ListParagraph"/>
        <w:numPr>
          <w:ilvl w:val="0"/>
          <w:numId w:val="2"/>
        </w:numPr>
        <w:spacing w:after="40" w:before="40"/>
      </w:pPr>
      <w:r>
        <w:rPr>
          <w:rFonts w:ascii="Calibri" w:cs="Calibri" w:eastAsia="Calibri" w:hAnsi="Calibri"/>
          <w:color w:val="111111"/>
          <w:sz w:val="20"/>
          <w:szCs w:val="20"/>
        </w:rPr>
        <w:t xml:space="preserve">Fines can only be waived by the Branch Admin or higher, with a recorded reason.</w:t>
      </w:r>
    </w:p>
    <w:p>
      <w:pPr>
        <w:spacing w:after="40" w:before="40"/>
      </w:pPr>
      <w:r>
        <w:t xml:space="preserve"/>
      </w:r>
    </w:p>
    <w:p>
      <w:r>
        <w:br w:type="page"/>
      </w:r>
    </w:p>
    <w:p>
      <w:pPr>
        <w:pStyle w:val="Heading1"/>
        <w:spacing w:after="160" w:before="360"/>
      </w:pPr>
      <w:r>
        <w:rPr>
          <w:rFonts w:ascii="Calibri" w:cs="Calibri" w:eastAsia="Calibri" w:hAnsi="Calibri"/>
          <w:b/>
          <w:bCs/>
          <w:color w:val="1A3C5E"/>
          <w:sz w:val="40"/>
          <w:szCs w:val="40"/>
        </w:rPr>
        <w:t xml:space="preserve">6. TEACHER PAYROLL SOP</w:t>
      </w:r>
    </w:p>
    <w:p>
      <w:pPr>
        <w:pBdr>
          <w:bottom w:val="single" w:color="2563A8" w:sz="6" w:space="1"/>
        </w:pBdr>
        <w:spacing w:after="100" w:before="100"/>
      </w:pPr>
      <w:r>
        <w:t xml:space="preserve"/>
      </w:r>
    </w:p>
    <w:p>
      <w:pPr>
        <w:spacing w:after="60" w:before="60"/>
        <w:jc w:val="left"/>
      </w:pPr>
      <w:r>
        <w:rPr>
          <w:rFonts w:ascii="Calibri" w:cs="Calibri" w:eastAsia="Calibri" w:hAnsi="Calibri"/>
          <w:b w:val="false"/>
          <w:bCs w:val="false"/>
          <w:i w:val="false"/>
          <w:iCs w:val="false"/>
          <w:color w:val="111111"/>
          <w:sz w:val="20"/>
          <w:szCs w:val="20"/>
        </w:rPr>
        <w:t xml:space="preserve">Teacher earnings in TCMS are directly derived from student fee collections and class enrollment rules. This is different from a standard payroll system where salary is fixed regardless of collections. Both models are supported.</w:t>
      </w:r>
    </w:p>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6.1 Teacher Earning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Model</w:t>
            </w:r>
          </w:p>
        </w:tc>
        <w:tc>
          <w:tcPr>
            <w:tcW w:type="dxa" w:w="65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How It Works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Monthly Cut % Model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Teacher earns a percentage (e.g., 60%) of each student's monthly fee that is actually collected. If 10 students pay Rs. 1,500/month and teacher cut is 60%, teacher earns Rs. 9,000 for that period.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Package Course Model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Teacher earns a fixed amount for the entire course, regardless of individual student payments. Amount is set when the class is created.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Fixed Monthly Salary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Teacher receives a fixed salary each month regardless of collections. Earning is generated monthly at the fixed amount. (Primarily for schools and colleges.)</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6.2 Teacher Earning Recognition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1"/>
              <w:left w:val="single" w:color="5B2D8E" w:sz="14"/>
              <w:bottom w:val="single" w:color="5B2D8E" w:sz="1"/>
              <w:right w:val="single" w:color="5B2D8E" w:sz="1"/>
            </w:tcBorders>
            <w:shd w:fill="EDE0FF" w:val="clear"/>
            <w:tcMar>
              <w:top w:type="dxa" w:w="120"/>
              <w:left w:type="dxa" w:w="240"/>
              <w:bottom w:type="dxa" w:w="120"/>
              <w:right w:type="dxa" w:w="200"/>
            </w:tcMar>
          </w:tcPr>
          <w:p>
            <w:pPr>
              <w:spacing w:after="40" w:before="0"/>
            </w:pPr>
            <w:r>
              <w:rPr>
                <w:rFonts w:ascii="Calibri" w:cs="Calibri" w:eastAsia="Calibri" w:hAnsi="Calibri"/>
                <w:b/>
                <w:bCs/>
                <w:color w:val="5B2D8E"/>
                <w:sz w:val="18"/>
                <w:szCs w:val="18"/>
              </w:rPr>
              <w:t xml:space="preserve">⇒ PROCESS</w:t>
            </w:r>
          </w:p>
          <w:p>
            <w:pPr>
              <w:spacing w:after="0" w:before="0"/>
            </w:pPr>
            <w:r>
              <w:rPr>
                <w:rFonts w:ascii="Calibri" w:cs="Calibri" w:eastAsia="Calibri" w:hAnsi="Calibri"/>
                <w:color w:val="111111"/>
                <w:sz w:val="19"/>
                <w:szCs w:val="19"/>
              </w:rPr>
              <w:t xml:space="preserve">Teacher earnings are recognized when the student's fee payment is approved and posted. This is the cash-basis recognition rule. The accounting entry (Dr Teacher Salary Expense / Cr Teacher Payable) is posted at this point. The teacher is not paid yet — they are owed the money.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60"/>
        <w:gridCol w:w="23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Responsible</w:t>
            </w:r>
          </w:p>
        </w:tc>
        <w:tc>
          <w:tcPr>
            <w:tcW w:type="dxa" w:w="44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Action</w:t>
            </w:r>
          </w:p>
        </w:tc>
        <w:tc>
          <w:tcPr>
            <w:tcW w:type="dxa" w:w="23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Notes / Rules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System</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When a student payment is approved, the system calculates the teacher's share based on the enrollment's teacher cut percentage and creates a Teacher Earning record.</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The earning record shows: teacher, student, class, period, expected amount, earned amount, status.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Review the auto-generated teacher earnings at end of each month. Verify totals against payment records.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Earning total must reconcile with the total approved student payments for that class and period.</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Post teacher earnings: System generates Dr Teacher Salary Expense / Cr Teacher Payable for the approved earnings.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Only approved, posted earnings become part of the payable. Pending earnings are informational only.</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6.3 Teacher Payment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60"/>
        <w:gridCol w:w="23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Responsible</w:t>
            </w:r>
          </w:p>
        </w:tc>
        <w:tc>
          <w:tcPr>
            <w:tcW w:type="dxa" w:w="44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Action</w:t>
            </w:r>
          </w:p>
        </w:tc>
        <w:tc>
          <w:tcPr>
            <w:tcW w:type="dxa" w:w="23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Notes / Rules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At the end of the month (or per payment schedule), open the Teacher Payable summary. Review total payable per teacher.</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Cross-check payable amount with the teacher. Discrepancies must be resolved before paying.</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Create a Teacher Payment record: teacher, payment date, amount, payment method (Cash / Bank), reference number. The amount cannot exceed the total unpaid teacher earnings.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If paying by bank, enter bank transfer reference. Transfer must have already happened or happen immediately.</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Allocate the payment to specific earning records (oldest first, unless instructed otherwise).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Partial payments leave remaining earnings in Unpaid status for the next payment cycle.</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4</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Save payment as Draft. Review: teacher, amount, method, allocation.</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5</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Branch Admin / Owner</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Approve the teacher payment. Maker-checker rule applies — the accountant who created the payment cannot be the sole approver if they are also signing the cheque.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Approver must verify the bank statement or cash register before approving.</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6</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System</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System posts: Dr Teacher Payable / Cr Cash in Hand or Bank Account.</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Posted teacher payments are immutable. Corrections require reversal.</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7</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Issue the Teacher Payment Voucher. Teacher signs the acknowledgement (for cash payments).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Signed acknowledgements must be scanned and uploaded against the payment record.</w:t>
            </w:r>
          </w:p>
        </w:tc>
      </w:tr>
    </w:tbl>
    <w:p>
      <w:pPr>
        <w:spacing w:after="40" w:before="40"/>
      </w:pPr>
      <w:r>
        <w:t xml:space="preserve"/>
      </w:r>
    </w:p>
    <w:p>
      <w:r>
        <w:br w:type="page"/>
      </w:r>
    </w:p>
    <w:p>
      <w:pPr>
        <w:pStyle w:val="Heading1"/>
        <w:spacing w:after="160" w:before="360"/>
      </w:pPr>
      <w:r>
        <w:rPr>
          <w:rFonts w:ascii="Calibri" w:cs="Calibri" w:eastAsia="Calibri" w:hAnsi="Calibri"/>
          <w:b/>
          <w:bCs/>
          <w:color w:val="1A3C5E"/>
          <w:sz w:val="40"/>
          <w:szCs w:val="40"/>
        </w:rPr>
        <w:t xml:space="preserve">7. ACCOUNTING &amp; FINANCIAL MANAGEMENT SOP</w:t>
      </w:r>
    </w:p>
    <w:p>
      <w:pPr>
        <w:pBdr>
          <w:bottom w:val="single" w:color="2563A8" w:sz="6"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1"/>
              <w:left w:val="single" w:color="0F5132" w:sz="14"/>
              <w:bottom w:val="single" w:color="0F5132" w:sz="1"/>
              <w:right w:val="single" w:color="0F5132" w:sz="1"/>
            </w:tcBorders>
            <w:shd w:fill="D1E7DD" w:val="clear"/>
            <w:tcMar>
              <w:top w:type="dxa" w:w="120"/>
              <w:left w:type="dxa" w:w="240"/>
              <w:bottom w:type="dxa" w:w="120"/>
              <w:right w:type="dxa" w:w="200"/>
            </w:tcMar>
          </w:tcPr>
          <w:p>
            <w:pPr>
              <w:spacing w:after="40" w:before="0"/>
            </w:pPr>
            <w:r>
              <w:rPr>
                <w:rFonts w:ascii="Calibri" w:cs="Calibri" w:eastAsia="Calibri" w:hAnsi="Calibri"/>
                <w:b/>
                <w:bCs/>
                <w:color w:val="0F5132"/>
                <w:sz w:val="18"/>
                <w:szCs w:val="18"/>
              </w:rPr>
              <w:t xml:space="preserve">✔ RULE</w:t>
            </w:r>
          </w:p>
          <w:p>
            <w:pPr>
              <w:spacing w:after="0" w:before="0"/>
            </w:pPr>
            <w:r>
              <w:rPr>
                <w:rFonts w:ascii="Calibri" w:cs="Calibri" w:eastAsia="Calibri" w:hAnsi="Calibri"/>
                <w:color w:val="111111"/>
                <w:sz w:val="19"/>
                <w:szCs w:val="19"/>
              </w:rPr>
              <w:t xml:space="preserve">The accounting module is the single source of truth for all financial data. Reports drawn from the billing or payroll modules are operational. Reports drawn from the General Ledger are financial and authoritative. In case of discrepancy, the Ledger is correct and billing/payroll records must be reconciled to it.</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7.1 Daily Accounting 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60"/>
        <w:gridCol w:w="23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Responsible</w:t>
            </w:r>
          </w:p>
        </w:tc>
        <w:tc>
          <w:tcPr>
            <w:tcW w:type="dxa" w:w="44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Action</w:t>
            </w:r>
          </w:p>
        </w:tc>
        <w:tc>
          <w:tcPr>
            <w:tcW w:type="dxa" w:w="23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Notes / Rules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At start of day: count and record opening cash balance in the TCMS Cash Book. Note any discrepancy from previous day's closing balance.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Opening balance must match the previous day's closing balance. Discrepancies must be reported to accountant immediately.</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Receptionist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Collect all fee payments throughout the day. Record each as Draft in TCMS immediately after collecting. Do not hold multiple payments and enter them at end of day.</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Real-time recording prevents loss, errors, and disputes.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Throughout the day or at scheduled approval windows (e.g., 12pm and 5pm), review and approve all pending draft payments.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Draft payments older than 24 hours must be flagged to Branch Admin.</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4</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At end of day: run the Daily Cash Report from TCMS. Count physical cash. Cash count must match the TCMS daily cash total.</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Any discrepancy — even Re. 1 — must be recorded with an explanation. Unexplained discrepancies are escalated.</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5</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Record any other income or expense vouchers for the day (electricity bill, stationery purchase, etc.) as manual journal entries.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Every expense must have a supporting bill or voucher attached. No entry without a document.</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6</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At end of day: close the daily cash book. Sign off on the Daily Cash Report.</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The signed daily report is an accounting document. It must be filed.</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7.2 Manual Journal Entry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1"/>
              <w:left w:val="single" w:color="2563A8" w:sz="14"/>
              <w:bottom w:val="single" w:color="2563A8" w:sz="1"/>
              <w:right w:val="single" w:color="2563A8" w:sz="1"/>
            </w:tcBorders>
            <w:shd w:fill="DBE9F8" w:val="clear"/>
            <w:tcMar>
              <w:top w:type="dxa" w:w="120"/>
              <w:left w:type="dxa" w:w="240"/>
              <w:bottom w:type="dxa" w:w="120"/>
              <w:right w:type="dxa" w:w="200"/>
            </w:tcMar>
          </w:tcPr>
          <w:p>
            <w:pPr>
              <w:spacing w:after="40" w:before="0"/>
            </w:pPr>
            <w:r>
              <w:rPr>
                <w:rFonts w:ascii="Calibri" w:cs="Calibri" w:eastAsia="Calibri" w:hAnsi="Calibri"/>
                <w:b/>
                <w:bCs/>
                <w:color w:val="2563A8"/>
                <w:sz w:val="18"/>
                <w:szCs w:val="18"/>
              </w:rPr>
              <w:t xml:space="preserve">ℹ NOTE</w:t>
            </w:r>
          </w:p>
          <w:p>
            <w:pPr>
              <w:spacing w:after="0" w:before="0"/>
            </w:pPr>
            <w:r>
              <w:rPr>
                <w:rFonts w:ascii="Calibri" w:cs="Calibri" w:eastAsia="Calibri" w:hAnsi="Calibri"/>
                <w:color w:val="111111"/>
                <w:sz w:val="19"/>
                <w:szCs w:val="19"/>
              </w:rPr>
              <w:t xml:space="preserve">Manual journal entries are for transactions that the system does not generate automatically: rent, utilities, depreciation, owner capital, inter-branch transfers, corrections, and year-end entries. Every manual entry must have a supporting document.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60"/>
        <w:gridCol w:w="23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Responsible</w:t>
            </w:r>
          </w:p>
        </w:tc>
        <w:tc>
          <w:tcPr>
            <w:tcW w:type="dxa" w:w="44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Action</w:t>
            </w:r>
          </w:p>
        </w:tc>
        <w:tc>
          <w:tcPr>
            <w:tcW w:type="dxa" w:w="23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Notes / Rules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Identify the transaction to be journalised. Confirm it is not already captured by a system-generated entry.</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Double posting (entering something the system already posted) will cause balance errors.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Create journal entry: set date, description, narration, source document reference (bill number, contract reference, etc.).</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Narration must explain what the entry is for clearly enough that an auditor unfamiliar with the context can understand it.</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Add journal lines: debit accounts and credit accounts. Total debits must equal total credits before the system allows saving.</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The system enforces balance. You cannot save an unbalanced entry.</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4</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Save as Draft. Attach supporting document scan.</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Supporting documents are mandatory. "I will attach it later" is not acceptable.</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5</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Branch Admin / Owner</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Review the draft journal entry. Check narration, accounts used, and supporting document. Approve it.</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Maker-checker rule applies here too. The creator cannot be the sole approver.</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6</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System</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System posts the approved entry. Entry status changes to Posted. Entry becomes immutable.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A posted entry cannot be edited. Errors must be corrected by reversal.</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7.3 Correcting a Posted Entry (Reversal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2020" w:sz="1"/>
              <w:left w:val="single" w:color="A52020" w:sz="14"/>
              <w:bottom w:val="single" w:color="A52020" w:sz="1"/>
              <w:right w:val="single" w:color="A52020" w:sz="1"/>
            </w:tcBorders>
            <w:shd w:fill="FADADD" w:val="clear"/>
            <w:tcMar>
              <w:top w:type="dxa" w:w="120"/>
              <w:left w:type="dxa" w:w="240"/>
              <w:bottom w:type="dxa" w:w="120"/>
              <w:right w:type="dxa" w:w="200"/>
            </w:tcMar>
          </w:tcPr>
          <w:p>
            <w:pPr>
              <w:spacing w:after="40" w:before="0"/>
            </w:pPr>
            <w:r>
              <w:rPr>
                <w:rFonts w:ascii="Calibri" w:cs="Calibri" w:eastAsia="Calibri" w:hAnsi="Calibri"/>
                <w:b/>
                <w:bCs/>
                <w:color w:val="A52020"/>
                <w:sz w:val="18"/>
                <w:szCs w:val="18"/>
              </w:rPr>
              <w:t xml:space="preserve">✖ CRITICAL</w:t>
            </w:r>
          </w:p>
          <w:p>
            <w:pPr>
              <w:spacing w:after="0" w:before="0"/>
            </w:pPr>
            <w:r>
              <w:rPr>
                <w:rFonts w:ascii="Calibri" w:cs="Calibri" w:eastAsia="Calibri" w:hAnsi="Calibri"/>
                <w:color w:val="111111"/>
                <w:sz w:val="19"/>
                <w:szCs w:val="19"/>
              </w:rPr>
              <w:t xml:space="preserve">Never delete or edit a posted financial record. If a posted entry is wrong, you must reverse it (create an opposite entry to cancel it out) and then post the correct entry. This preserves the audit trail.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60"/>
        <w:gridCol w:w="23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Responsible</w:t>
            </w:r>
          </w:p>
        </w:tc>
        <w:tc>
          <w:tcPr>
            <w:tcW w:type="dxa" w:w="44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Action</w:t>
            </w:r>
          </w:p>
        </w:tc>
        <w:tc>
          <w:tcPr>
            <w:tcW w:type="dxa" w:w="23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Notes / Rules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Identify the incorrect posted entry. Note the transaction key/journal entry number.</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Verify the entry is wrong before reversing. Reversing a correct entry and re-entering it creates unnecessary clutter.</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Create a Reversal entry using the "Reverse" action on the original entry. System automatically creates an opposite entry with the same accounts but debits and credits swapped.</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Reversal date should be the correction date, not the original entry date (unless correcting an error in a prior period). If the period is closed, reverse in the current open period.</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Add a clear narration to the reversal: "Reversal of Entry JV-XXXX — reason: [state reason]."</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4</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Branch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Approve the reversal entry.</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5</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Post the correct journal entry with the right amounts and accounts.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After reversal + correct entry, the net effect should be the intended correct accounting.</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7.4 Monthly Period-Close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60"/>
        <w:gridCol w:w="23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Responsible</w:t>
            </w:r>
          </w:p>
        </w:tc>
        <w:tc>
          <w:tcPr>
            <w:tcW w:type="dxa" w:w="44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Action</w:t>
            </w:r>
          </w:p>
        </w:tc>
        <w:tc>
          <w:tcPr>
            <w:tcW w:type="dxa" w:w="23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Notes / Rules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On the last working day of the month: run the Trial Balance for the current period. Confirm it balances.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Do not close the period if the trial balance does not balance.</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Verify that all payments for the month have been approved and posted.</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Check the "Pending Approvals" queue — it should be empty.</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Run Student Receivable Aging. Follow up on overdue balances. Note any accounts that need to be written off.</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4</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Run Bank Reconciliation for the month (Section 7.5).</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Period cannot be soft-closed until bank reconciliation is complete.</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5</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Post any month-end adjustments: accruals, prepayments, depreciation, provisions.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All adjustments must have supporting calculations attached.</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6</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Generate and save: Trial Balance, Income Statement, Balance Sheet, Cash Flow Summary. File as monthly management accounts.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These are the monthly financial records. They must be generated and saved every month without exception.</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7</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Soft-close the accounting period. Notify Branch Admin.</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Soft-close allows only authorized correction entries. Normal transactions are blocked.</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8</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Branch Admin / Owner</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Review monthly financial summary. Approve the month-end close.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7.5 Bank Reconciliation SOP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60"/>
        <w:gridCol w:w="23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Responsible</w:t>
            </w:r>
          </w:p>
        </w:tc>
        <w:tc>
          <w:tcPr>
            <w:tcW w:type="dxa" w:w="44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Action</w:t>
            </w:r>
          </w:p>
        </w:tc>
        <w:tc>
          <w:tcPr>
            <w:tcW w:type="dxa" w:w="23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Notes / Rules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Obtain the bank statement for the month from the bank (physical or download).</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This must be the official bank statement, not a mobile app screenshot.</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In TCMS, open Bank Reconciliation for the month. Enter the bank statement closing balance.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Match each bank statement line against TCMS payment and expense records. Mark matched items as Cleared.</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Look for: deposits in TCMS that do not appear in bank (timing differences), and bank entries that are not in TCMS (unrecorded transactions).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4</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Investigate and record unmatched items: (a) Bank charges — enter as expense journal entry. (b) Bank interest — enter as income journal entry. (c) Payments not yet cleared — carry forward.</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Do not finalize reconciliation until all unexplained differences are resolved.</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5</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Accountant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Confirm reconciliation: TCMS system balance must equal bank statement balance after adjustments. Reconciliation difference must be zero.</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A non-zero difference means something is wrong. Do not approve a reconciliation with a difference.</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6</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Branch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Review and approve the bank reconciliation. Save the reconciliation PDF and file it.</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Approved reconciliation is locked and cannot be modified.</w:t>
            </w:r>
          </w:p>
        </w:tc>
      </w:tr>
    </w:tbl>
    <w:p>
      <w:pPr>
        <w:spacing w:after="40" w:before="40"/>
      </w:pPr>
      <w:r>
        <w:t xml:space="preserve"/>
      </w:r>
    </w:p>
    <w:p>
      <w:r>
        <w:br w:type="page"/>
      </w:r>
    </w:p>
    <w:p>
      <w:pPr>
        <w:pStyle w:val="Heading1"/>
        <w:spacing w:after="160" w:before="360"/>
      </w:pPr>
      <w:r>
        <w:rPr>
          <w:rFonts w:ascii="Calibri" w:cs="Calibri" w:eastAsia="Calibri" w:hAnsi="Calibri"/>
          <w:b/>
          <w:bCs/>
          <w:color w:val="1A3C5E"/>
          <w:sz w:val="40"/>
          <w:szCs w:val="40"/>
        </w:rPr>
        <w:t xml:space="preserve">8. EXAM MANAGEMENT &amp; ACADEMIC RECORDS SOP</w:t>
      </w:r>
    </w:p>
    <w:p>
      <w:pPr>
        <w:pBdr>
          <w:bottom w:val="single" w:color="2563A8" w:sz="6" w:space="1"/>
        </w:pBdr>
        <w:spacing w:after="100" w:before="100"/>
      </w:pPr>
      <w:r>
        <w:t xml:space="preserve"/>
      </w:r>
    </w:p>
    <w:p>
      <w:pPr>
        <w:spacing w:after="60" w:before="60"/>
        <w:jc w:val="left"/>
      </w:pPr>
      <w:r>
        <w:rPr>
          <w:rFonts w:ascii="Calibri" w:cs="Calibri" w:eastAsia="Calibri" w:hAnsi="Calibri"/>
          <w:b w:val="false"/>
          <w:bCs w:val="false"/>
          <w:i w:val="false"/>
          <w:iCs w:val="false"/>
          <w:color w:val="111111"/>
          <w:sz w:val="20"/>
          <w:szCs w:val="20"/>
        </w:rPr>
        <w:t xml:space="preserve">This section covers academic workflows specific to schools and colleges within the TCMS system. These workflows are planned for Version 2 but the SOPs should be understood and designed now.</w:t>
      </w:r>
    </w:p>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8.1 Examination Schedule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60"/>
        <w:gridCol w:w="23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Responsible</w:t>
            </w:r>
          </w:p>
        </w:tc>
        <w:tc>
          <w:tcPr>
            <w:tcW w:type="dxa" w:w="44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Action</w:t>
            </w:r>
          </w:p>
        </w:tc>
        <w:tc>
          <w:tcPr>
            <w:tcW w:type="dxa" w:w="23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Notes / Rules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Branch Admin / Academic Coordinator</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Create Examination record: exam name (e.g., First Term Exam), class, subject, exam date, start time, end time, full marks, pass marks, exam fee (if applicable).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Exam dates must not overlap for the same class and teacher.</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Branch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If exam fee applies (e.g., board exam fee, practical fee): generate exam fee dues for enrolled students. Process follows standard fee due and payment SOP.</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Exam fee dues are a separate fee type (exam) from tuition fees.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Teacher</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After exam: enter marks for each student in the system within 5 working days of the exam.</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Marks can only be entered by the assigned teacher. Corrections require Branch Admin override with reason.</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4</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Branch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Review entered marks. Publish results. System marks each student's result as Pass/Fail based on pass mark criteria.</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Published results are visible to students/guardians in the portal (v2 feature).</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5</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Branch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Generate Mark Sheet / Report Card PDF from TCMS and distribute.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Mark sheets must carry the institute seal and authorized signature.</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8.2 Attendance SOP (v2 Feature — Design-Ready)</w:t>
      </w:r>
    </w:p>
    <w:p>
      <w:pPr>
        <w:pStyle w:val="ListParagraph"/>
        <w:numPr>
          <w:ilvl w:val="0"/>
          <w:numId w:val="2"/>
        </w:numPr>
        <w:spacing w:after="40" w:before="40"/>
      </w:pPr>
      <w:r>
        <w:rPr>
          <w:rFonts w:ascii="Calibri" w:cs="Calibri" w:eastAsia="Calibri" w:hAnsi="Calibri"/>
          <w:color w:val="111111"/>
          <w:sz w:val="20"/>
          <w:szCs w:val="20"/>
        </w:rPr>
        <w:t xml:space="preserve">Attendance is recorded class-by-class, day-by-day, by the assigned teacher.</w:t>
      </w:r>
    </w:p>
    <w:p>
      <w:pPr>
        <w:pStyle w:val="ListParagraph"/>
        <w:numPr>
          <w:ilvl w:val="0"/>
          <w:numId w:val="2"/>
        </w:numPr>
        <w:spacing w:after="40" w:before="40"/>
      </w:pPr>
      <w:r>
        <w:rPr>
          <w:rFonts w:ascii="Calibri" w:cs="Calibri" w:eastAsia="Calibri" w:hAnsi="Calibri"/>
          <w:color w:val="111111"/>
          <w:sz w:val="20"/>
          <w:szCs w:val="20"/>
        </w:rPr>
        <w:t xml:space="preserve">Attendance states: Present, Absent, Leave (approved absence), Late.</w:t>
      </w:r>
    </w:p>
    <w:p>
      <w:pPr>
        <w:pStyle w:val="ListParagraph"/>
        <w:numPr>
          <w:ilvl w:val="0"/>
          <w:numId w:val="2"/>
        </w:numPr>
        <w:spacing w:after="40" w:before="40"/>
      </w:pPr>
      <w:r>
        <w:rPr>
          <w:rFonts w:ascii="Calibri" w:cs="Calibri" w:eastAsia="Calibri" w:hAnsi="Calibri"/>
          <w:color w:val="111111"/>
          <w:sz w:val="20"/>
          <w:szCs w:val="20"/>
        </w:rPr>
        <w:t xml:space="preserve">Monthly attendance summary must be generated and reviewed by Branch Admin.</w:t>
      </w:r>
    </w:p>
    <w:p>
      <w:pPr>
        <w:pStyle w:val="ListParagraph"/>
        <w:numPr>
          <w:ilvl w:val="0"/>
          <w:numId w:val="2"/>
        </w:numPr>
        <w:spacing w:after="40" w:before="40"/>
      </w:pPr>
      <w:r>
        <w:rPr>
          <w:rFonts w:ascii="Calibri" w:cs="Calibri" w:eastAsia="Calibri" w:hAnsi="Calibri"/>
          <w:color w:val="111111"/>
          <w:sz w:val="20"/>
          <w:szCs w:val="20"/>
        </w:rPr>
        <w:t xml:space="preserve">Students with attendance below 75% in a month should be flagged and parents notified.</w:t>
      </w:r>
    </w:p>
    <w:p>
      <w:pPr>
        <w:pStyle w:val="ListParagraph"/>
        <w:numPr>
          <w:ilvl w:val="0"/>
          <w:numId w:val="2"/>
        </w:numPr>
        <w:spacing w:after="40" w:before="40"/>
      </w:pPr>
      <w:r>
        <w:rPr>
          <w:rFonts w:ascii="Calibri" w:cs="Calibri" w:eastAsia="Calibri" w:hAnsi="Calibri"/>
          <w:color w:val="111111"/>
          <w:sz w:val="20"/>
          <w:szCs w:val="20"/>
        </w:rPr>
        <w:t xml:space="preserve">Attendance data feeds into result eligibility calculation — students below minimum attendance threshold may be barred from exams per institute policy.</w:t>
      </w:r>
    </w:p>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8.3 Student Academic Record Maintenance</w:t>
      </w:r>
    </w:p>
    <w:p>
      <w:pPr>
        <w:pStyle w:val="ListParagraph"/>
        <w:numPr>
          <w:ilvl w:val="0"/>
          <w:numId w:val="2"/>
        </w:numPr>
        <w:spacing w:after="40" w:before="40"/>
      </w:pPr>
      <w:r>
        <w:rPr>
          <w:rFonts w:ascii="Calibri" w:cs="Calibri" w:eastAsia="Calibri" w:hAnsi="Calibri"/>
          <w:color w:val="111111"/>
          <w:sz w:val="20"/>
          <w:szCs w:val="20"/>
        </w:rPr>
        <w:t xml:space="preserve">Each student's academic history is maintained per academic year: class enrolled, teacher, marks obtained, attendance percentage, grade awarded.</w:t>
      </w:r>
    </w:p>
    <w:p>
      <w:pPr>
        <w:pStyle w:val="ListParagraph"/>
        <w:numPr>
          <w:ilvl w:val="0"/>
          <w:numId w:val="2"/>
        </w:numPr>
        <w:spacing w:after="40" w:before="40"/>
      </w:pPr>
      <w:r>
        <w:rPr>
          <w:rFonts w:ascii="Calibri" w:cs="Calibri" w:eastAsia="Calibri" w:hAnsi="Calibri"/>
          <w:color w:val="111111"/>
          <w:sz w:val="20"/>
          <w:szCs w:val="20"/>
        </w:rPr>
        <w:t xml:space="preserve">Records are permanent and cannot be deleted after the academic year is closed.</w:t>
      </w:r>
    </w:p>
    <w:p>
      <w:pPr>
        <w:pStyle w:val="ListParagraph"/>
        <w:numPr>
          <w:ilvl w:val="0"/>
          <w:numId w:val="2"/>
        </w:numPr>
        <w:spacing w:after="40" w:before="40"/>
      </w:pPr>
      <w:r>
        <w:rPr>
          <w:rFonts w:ascii="Calibri" w:cs="Calibri" w:eastAsia="Calibri" w:hAnsi="Calibri"/>
          <w:color w:val="111111"/>
          <w:sz w:val="20"/>
          <w:szCs w:val="20"/>
        </w:rPr>
        <w:t xml:space="preserve">Schools must maintain minimum records as per the Nepal government's school education regulation.</w:t>
      </w:r>
    </w:p>
    <w:p>
      <w:pPr>
        <w:pStyle w:val="ListParagraph"/>
        <w:numPr>
          <w:ilvl w:val="0"/>
          <w:numId w:val="2"/>
        </w:numPr>
        <w:spacing w:after="40" w:before="40"/>
      </w:pPr>
      <w:r>
        <w:rPr>
          <w:rFonts w:ascii="Calibri" w:cs="Calibri" w:eastAsia="Calibri" w:hAnsi="Calibri"/>
          <w:color w:val="111111"/>
          <w:sz w:val="20"/>
          <w:szCs w:val="20"/>
        </w:rPr>
        <w:t xml:space="preserve">Colleges must maintain records per TU/PU/KU or respective university affiliation requirements.</w:t>
      </w:r>
    </w:p>
    <w:p>
      <w:pPr>
        <w:spacing w:after="40" w:before="40"/>
      </w:pPr>
      <w:r>
        <w:t xml:space="preserve"/>
      </w:r>
    </w:p>
    <w:p>
      <w:r>
        <w:br w:type="page"/>
      </w:r>
    </w:p>
    <w:p>
      <w:pPr>
        <w:pStyle w:val="Heading1"/>
        <w:spacing w:after="160" w:before="360"/>
      </w:pPr>
      <w:r>
        <w:rPr>
          <w:rFonts w:ascii="Calibri" w:cs="Calibri" w:eastAsia="Calibri" w:hAnsi="Calibri"/>
          <w:b/>
          <w:bCs/>
          <w:color w:val="1A3C5E"/>
          <w:sz w:val="40"/>
          <w:szCs w:val="40"/>
        </w:rPr>
        <w:t xml:space="preserve">9. REPORTS &amp; DASHBOARD SOP</w:t>
      </w:r>
    </w:p>
    <w:p>
      <w:pPr>
        <w:pBdr>
          <w:bottom w:val="single" w:color="2563A8" w:sz="6" w:space="1"/>
        </w:pBdr>
        <w:spacing w:after="100" w:before="100"/>
      </w:pPr>
      <w:r>
        <w:t xml:space="preserve"/>
      </w:r>
    </w:p>
    <w:p>
      <w:pPr>
        <w:pStyle w:val="Heading2"/>
        <w:spacing w:after="120" w:before="280"/>
      </w:pPr>
      <w:r>
        <w:rPr>
          <w:rFonts w:ascii="Calibri" w:cs="Calibri" w:eastAsia="Calibri" w:hAnsi="Calibri"/>
          <w:b/>
          <w:bCs/>
          <w:color w:val="2563A8"/>
          <w:sz w:val="30"/>
          <w:szCs w:val="30"/>
        </w:rPr>
        <w:t xml:space="preserve">9.1 Report Access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Report</w:t>
            </w:r>
          </w:p>
        </w:tc>
        <w:tc>
          <w:tcPr>
            <w:tcW w:type="dxa" w:w="58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Who Can Access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Daily Cash Report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Accountant, Branch Admin, Owner</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Student Receivable Aging</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Accountant, Branch Admin, Owner</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Teacher Payable Summary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Accountant, Branch Admin, Owner</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Trial Balance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Accountant, Owner, Auditor</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Income Statement (P&amp;L)</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Accountant, Owner, Auditor</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Balance Sheet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Accountant, Owner, Auditor</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Cash Flow Statement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Accountant, Owner, Auditor</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General Ledger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Accountant, Auditor (read-only)</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Bank Reconciliation Report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Accountant, Auditor</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Audit Log Report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Super Admin, Auditor</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Revenue by Class / Branch</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Branch Admin (own branch), Owner (all)</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Discount and Fine Report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Accountant, Branch Admin, Owner</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Student Enrollment Report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Receptionist, Branch Admin, Owner</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Teacher Earning Summary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Accountant (all), Teacher (own only)</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9.2 Report Generation Rules</w:t>
      </w:r>
    </w:p>
    <w:p>
      <w:pPr>
        <w:pStyle w:val="ListParagraph"/>
        <w:numPr>
          <w:ilvl w:val="0"/>
          <w:numId w:val="2"/>
        </w:numPr>
        <w:spacing w:after="40" w:before="40"/>
      </w:pPr>
      <w:r>
        <w:rPr>
          <w:rFonts w:ascii="Calibri" w:cs="Calibri" w:eastAsia="Calibri" w:hAnsi="Calibri"/>
          <w:color w:val="111111"/>
          <w:sz w:val="20"/>
          <w:szCs w:val="20"/>
        </w:rPr>
        <w:t xml:space="preserve">Reports must always be generated with an explicit date range. "All time" reports on large datasets must be run asynchronously (Celery background job) and downloaded when ready.</w:t>
      </w:r>
    </w:p>
    <w:p>
      <w:pPr>
        <w:pStyle w:val="ListParagraph"/>
        <w:numPr>
          <w:ilvl w:val="0"/>
          <w:numId w:val="2"/>
        </w:numPr>
        <w:spacing w:after="40" w:before="40"/>
      </w:pPr>
      <w:r>
        <w:rPr>
          <w:rFonts w:ascii="Calibri" w:cs="Calibri" w:eastAsia="Calibri" w:hAnsi="Calibri"/>
          <w:color w:val="111111"/>
          <w:sz w:val="20"/>
          <w:szCs w:val="20"/>
        </w:rPr>
        <w:t xml:space="preserve">Financial reports (Trial Balance, P&amp;L, Balance Sheet) are drawn from the Ledger (AccountRecord table), not from the billing or payroll tables directly.</w:t>
      </w:r>
    </w:p>
    <w:p>
      <w:pPr>
        <w:pStyle w:val="ListParagraph"/>
        <w:numPr>
          <w:ilvl w:val="0"/>
          <w:numId w:val="2"/>
        </w:numPr>
        <w:spacing w:after="40" w:before="40"/>
      </w:pPr>
      <w:r>
        <w:rPr>
          <w:rFonts w:ascii="Calibri" w:cs="Calibri" w:eastAsia="Calibri" w:hAnsi="Calibri"/>
          <w:color w:val="111111"/>
          <w:sz w:val="20"/>
          <w:szCs w:val="20"/>
        </w:rPr>
        <w:t xml:space="preserve">Operational reports (collections, enrollments) are drawn from billing and payroll tables and are informational.</w:t>
      </w:r>
    </w:p>
    <w:p>
      <w:pPr>
        <w:pStyle w:val="ListParagraph"/>
        <w:numPr>
          <w:ilvl w:val="0"/>
          <w:numId w:val="2"/>
        </w:numPr>
        <w:spacing w:after="40" w:before="40"/>
      </w:pPr>
      <w:r>
        <w:rPr>
          <w:rFonts w:ascii="Calibri" w:cs="Calibri" w:eastAsia="Calibri" w:hAnsi="Calibri"/>
          <w:color w:val="111111"/>
          <w:sz w:val="20"/>
          <w:szCs w:val="20"/>
        </w:rPr>
        <w:t xml:space="preserve">If a financial report total does not match an operational report total, the financial report (ledger) is correct. The discrepancy must be investigated — it means an accounting entry was not posted for a billing event.</w:t>
      </w:r>
    </w:p>
    <w:p>
      <w:pPr>
        <w:pStyle w:val="ListParagraph"/>
        <w:numPr>
          <w:ilvl w:val="0"/>
          <w:numId w:val="2"/>
        </w:numPr>
        <w:spacing w:after="40" w:before="40"/>
      </w:pPr>
      <w:r>
        <w:rPr>
          <w:rFonts w:ascii="Calibri" w:cs="Calibri" w:eastAsia="Calibri" w:hAnsi="Calibri"/>
          <w:color w:val="111111"/>
          <w:sz w:val="20"/>
          <w:szCs w:val="20"/>
        </w:rPr>
        <w:t xml:space="preserve">Reports must not be modified after export. Modifying an exported PDF report is a falsification of records.</w:t>
      </w:r>
    </w:p>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9.3 Monthly Management Report Package</w:t>
      </w:r>
    </w:p>
    <w:p>
      <w:pPr>
        <w:spacing w:after="60" w:before="60"/>
        <w:jc w:val="left"/>
      </w:pPr>
      <w:r>
        <w:rPr>
          <w:rFonts w:ascii="Calibri" w:cs="Calibri" w:eastAsia="Calibri" w:hAnsi="Calibri"/>
          <w:b w:val="false"/>
          <w:bCs w:val="false"/>
          <w:i w:val="false"/>
          <w:iCs w:val="false"/>
          <w:color w:val="111111"/>
          <w:sz w:val="20"/>
          <w:szCs w:val="20"/>
        </w:rPr>
        <w:t xml:space="preserve">The following report package must be generated at the end of every month and filed (digitally and physically if required by the institute):</w:t>
      </w:r>
    </w:p>
    <w:p>
      <w:pPr>
        <w:pStyle w:val="ListParagraph"/>
        <w:numPr>
          <w:ilvl w:val="0"/>
          <w:numId w:val="3"/>
        </w:numPr>
        <w:spacing w:after="50" w:before="50"/>
      </w:pPr>
      <w:r>
        <w:rPr>
          <w:rFonts w:ascii="Calibri" w:cs="Calibri" w:eastAsia="Calibri" w:hAnsi="Calibri"/>
          <w:color w:val="111111"/>
          <w:sz w:val="20"/>
          <w:szCs w:val="20"/>
        </w:rPr>
        <w:t xml:space="preserve">Trial Balance — confirms all accounts balance</w:t>
      </w:r>
    </w:p>
    <w:p>
      <w:pPr>
        <w:pStyle w:val="ListParagraph"/>
        <w:numPr>
          <w:ilvl w:val="0"/>
          <w:numId w:val="3"/>
        </w:numPr>
        <w:spacing w:after="50" w:before="50"/>
      </w:pPr>
      <w:r>
        <w:rPr>
          <w:rFonts w:ascii="Calibri" w:cs="Calibri" w:eastAsia="Calibri" w:hAnsi="Calibri"/>
          <w:color w:val="111111"/>
          <w:sz w:val="20"/>
          <w:szCs w:val="20"/>
        </w:rPr>
        <w:t xml:space="preserve">Income Statement — shows revenue vs expenses for the month</w:t>
      </w:r>
    </w:p>
    <w:p>
      <w:pPr>
        <w:pStyle w:val="ListParagraph"/>
        <w:numPr>
          <w:ilvl w:val="0"/>
          <w:numId w:val="3"/>
        </w:numPr>
        <w:spacing w:after="50" w:before="50"/>
      </w:pPr>
      <w:r>
        <w:rPr>
          <w:rFonts w:ascii="Calibri" w:cs="Calibri" w:eastAsia="Calibri" w:hAnsi="Calibri"/>
          <w:color w:val="111111"/>
          <w:sz w:val="20"/>
          <w:szCs w:val="20"/>
        </w:rPr>
        <w:t xml:space="preserve">Balance Sheet — shows assets, liabilities, equity as of month-end</w:t>
      </w:r>
    </w:p>
    <w:p>
      <w:pPr>
        <w:pStyle w:val="ListParagraph"/>
        <w:numPr>
          <w:ilvl w:val="0"/>
          <w:numId w:val="3"/>
        </w:numPr>
        <w:spacing w:after="50" w:before="50"/>
      </w:pPr>
      <w:r>
        <w:rPr>
          <w:rFonts w:ascii="Calibri" w:cs="Calibri" w:eastAsia="Calibri" w:hAnsi="Calibri"/>
          <w:color w:val="111111"/>
          <w:sz w:val="20"/>
          <w:szCs w:val="20"/>
        </w:rPr>
        <w:t xml:space="preserve">Cash Flow Summary — shows cash inflows and outflows</w:t>
      </w:r>
    </w:p>
    <w:p>
      <w:pPr>
        <w:pStyle w:val="ListParagraph"/>
        <w:numPr>
          <w:ilvl w:val="0"/>
          <w:numId w:val="3"/>
        </w:numPr>
        <w:spacing w:after="50" w:before="50"/>
      </w:pPr>
      <w:r>
        <w:rPr>
          <w:rFonts w:ascii="Calibri" w:cs="Calibri" w:eastAsia="Calibri" w:hAnsi="Calibri"/>
          <w:color w:val="111111"/>
          <w:sz w:val="20"/>
          <w:szCs w:val="20"/>
        </w:rPr>
        <w:t xml:space="preserve">Student Receivable Aging — shows overdue balances by bucket</w:t>
      </w:r>
    </w:p>
    <w:p>
      <w:pPr>
        <w:pStyle w:val="ListParagraph"/>
        <w:numPr>
          <w:ilvl w:val="0"/>
          <w:numId w:val="3"/>
        </w:numPr>
        <w:spacing w:after="50" w:before="50"/>
      </w:pPr>
      <w:r>
        <w:rPr>
          <w:rFonts w:ascii="Calibri" w:cs="Calibri" w:eastAsia="Calibri" w:hAnsi="Calibri"/>
          <w:color w:val="111111"/>
          <w:sz w:val="20"/>
          <w:szCs w:val="20"/>
        </w:rPr>
        <w:t xml:space="preserve">Teacher Payable Summary — shows amounts owed to teachers</w:t>
      </w:r>
    </w:p>
    <w:p>
      <w:pPr>
        <w:pStyle w:val="ListParagraph"/>
        <w:numPr>
          <w:ilvl w:val="0"/>
          <w:numId w:val="3"/>
        </w:numPr>
        <w:spacing w:after="50" w:before="50"/>
      </w:pPr>
      <w:r>
        <w:rPr>
          <w:rFonts w:ascii="Calibri" w:cs="Calibri" w:eastAsia="Calibri" w:hAnsi="Calibri"/>
          <w:color w:val="111111"/>
          <w:sz w:val="20"/>
          <w:szCs w:val="20"/>
        </w:rPr>
        <w:t xml:space="preserve">Bank Reconciliation Report — confirms system cash matches bank</w:t>
      </w:r>
    </w:p>
    <w:p>
      <w:pPr>
        <w:pStyle w:val="ListParagraph"/>
        <w:numPr>
          <w:ilvl w:val="0"/>
          <w:numId w:val="3"/>
        </w:numPr>
        <w:spacing w:after="50" w:before="50"/>
      </w:pPr>
      <w:r>
        <w:rPr>
          <w:rFonts w:ascii="Calibri" w:cs="Calibri" w:eastAsia="Calibri" w:hAnsi="Calibri"/>
          <w:color w:val="111111"/>
          <w:sz w:val="20"/>
          <w:szCs w:val="20"/>
        </w:rPr>
        <w:t xml:space="preserve">Revenue by Class Report — shows which classes are generating the most revenue</w:t>
      </w:r>
    </w:p>
    <w:p>
      <w:pPr>
        <w:spacing w:after="40" w:before="40"/>
      </w:pPr>
      <w:r>
        <w:t xml:space="preserve"/>
      </w:r>
    </w:p>
    <w:p>
      <w:r>
        <w:br w:type="page"/>
      </w:r>
    </w:p>
    <w:p>
      <w:pPr>
        <w:pStyle w:val="Heading1"/>
        <w:spacing w:after="160" w:before="360"/>
      </w:pPr>
      <w:r>
        <w:rPr>
          <w:rFonts w:ascii="Calibri" w:cs="Calibri" w:eastAsia="Calibri" w:hAnsi="Calibri"/>
          <w:b/>
          <w:bCs/>
          <w:color w:val="1A3C5E"/>
          <w:sz w:val="40"/>
          <w:szCs w:val="40"/>
        </w:rPr>
        <w:t xml:space="preserve">10. SYSTEM SECURITY &amp; ACCESS SOP</w:t>
      </w:r>
    </w:p>
    <w:p>
      <w:pPr>
        <w:pBdr>
          <w:bottom w:val="single" w:color="2563A8" w:sz="6" w:space="1"/>
        </w:pBdr>
        <w:spacing w:after="100" w:before="100"/>
      </w:pPr>
      <w:r>
        <w:t xml:space="preserve"/>
      </w:r>
    </w:p>
    <w:p>
      <w:pPr>
        <w:pStyle w:val="Heading2"/>
        <w:spacing w:after="120" w:before="280"/>
      </w:pPr>
      <w:r>
        <w:rPr>
          <w:rFonts w:ascii="Calibri" w:cs="Calibri" w:eastAsia="Calibri" w:hAnsi="Calibri"/>
          <w:b/>
          <w:bCs/>
          <w:color w:val="2563A8"/>
          <w:sz w:val="30"/>
          <w:szCs w:val="30"/>
        </w:rPr>
        <w:t xml:space="preserve">10.1 User Account Management Rules</w:t>
      </w:r>
    </w:p>
    <w:p>
      <w:pPr>
        <w:pStyle w:val="ListParagraph"/>
        <w:numPr>
          <w:ilvl w:val="0"/>
          <w:numId w:val="2"/>
        </w:numPr>
        <w:spacing w:after="40" w:before="40"/>
      </w:pPr>
      <w:r>
        <w:rPr>
          <w:rFonts w:ascii="Calibri" w:cs="Calibri" w:eastAsia="Calibri" w:hAnsi="Calibri"/>
          <w:color w:val="111111"/>
          <w:sz w:val="20"/>
          <w:szCs w:val="20"/>
        </w:rPr>
        <w:t xml:space="preserve">Every staff member gets their own TCMS login. No account sharing under any circumstance.</w:t>
      </w:r>
    </w:p>
    <w:p>
      <w:pPr>
        <w:pStyle w:val="ListParagraph"/>
        <w:numPr>
          <w:ilvl w:val="0"/>
          <w:numId w:val="2"/>
        </w:numPr>
        <w:spacing w:after="40" w:before="40"/>
      </w:pPr>
      <w:r>
        <w:rPr>
          <w:rFonts w:ascii="Calibri" w:cs="Calibri" w:eastAsia="Calibri" w:hAnsi="Calibri"/>
          <w:color w:val="111111"/>
          <w:sz w:val="20"/>
          <w:szCs w:val="20"/>
        </w:rPr>
        <w:t xml:space="preserve">Passwords must be at least 10 characters, include uppercase, lowercase, number, and symbol.</w:t>
      </w:r>
    </w:p>
    <w:p>
      <w:pPr>
        <w:pStyle w:val="ListParagraph"/>
        <w:numPr>
          <w:ilvl w:val="0"/>
          <w:numId w:val="2"/>
        </w:numPr>
        <w:spacing w:after="40" w:before="40"/>
      </w:pPr>
      <w:r>
        <w:rPr>
          <w:rFonts w:ascii="Calibri" w:cs="Calibri" w:eastAsia="Calibri" w:hAnsi="Calibri"/>
          <w:color w:val="111111"/>
          <w:sz w:val="20"/>
          <w:szCs w:val="20"/>
        </w:rPr>
        <w:t xml:space="preserve">Super Admin forces password change on new accounts. User must change on first login.</w:t>
      </w:r>
    </w:p>
    <w:p>
      <w:pPr>
        <w:pStyle w:val="ListParagraph"/>
        <w:numPr>
          <w:ilvl w:val="0"/>
          <w:numId w:val="2"/>
        </w:numPr>
        <w:spacing w:after="40" w:before="40"/>
      </w:pPr>
      <w:r>
        <w:rPr>
          <w:rFonts w:ascii="Calibri" w:cs="Calibri" w:eastAsia="Calibri" w:hAnsi="Calibri"/>
          <w:color w:val="111111"/>
          <w:sz w:val="20"/>
          <w:szCs w:val="20"/>
        </w:rPr>
        <w:t xml:space="preserve">Accounts of resigned or terminated staff must be deactivated within 24 hours of termination. The Super Admin is responsible for this.</w:t>
      </w:r>
    </w:p>
    <w:p>
      <w:pPr>
        <w:pStyle w:val="ListParagraph"/>
        <w:numPr>
          <w:ilvl w:val="0"/>
          <w:numId w:val="2"/>
        </w:numPr>
        <w:spacing w:after="40" w:before="40"/>
      </w:pPr>
      <w:r>
        <w:rPr>
          <w:rFonts w:ascii="Calibri" w:cs="Calibri" w:eastAsia="Calibri" w:hAnsi="Calibri"/>
          <w:color w:val="111111"/>
          <w:sz w:val="20"/>
          <w:szCs w:val="20"/>
        </w:rPr>
        <w:t xml:space="preserve">Login history is recorded by the system. Unusual login times or IP addresses should be reviewed monthly by the Super Admin.</w:t>
      </w:r>
    </w:p>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10.2 Two-Factor Authentication (2FA)</w:t>
      </w:r>
    </w:p>
    <w:p>
      <w:pPr>
        <w:pStyle w:val="ListParagraph"/>
        <w:numPr>
          <w:ilvl w:val="0"/>
          <w:numId w:val="2"/>
        </w:numPr>
        <w:spacing w:after="40" w:before="40"/>
      </w:pPr>
      <w:r>
        <w:rPr>
          <w:rFonts w:ascii="Calibri" w:cs="Calibri" w:eastAsia="Calibri" w:hAnsi="Calibri"/>
          <w:color w:val="111111"/>
          <w:sz w:val="20"/>
          <w:szCs w:val="20"/>
        </w:rPr>
        <w:t xml:space="preserve">2FA is mandatory for: Super Admin, Accountant, Branch Admin.</w:t>
      </w:r>
    </w:p>
    <w:p>
      <w:pPr>
        <w:pStyle w:val="ListParagraph"/>
        <w:numPr>
          <w:ilvl w:val="0"/>
          <w:numId w:val="2"/>
        </w:numPr>
        <w:spacing w:after="40" w:before="40"/>
      </w:pPr>
      <w:r>
        <w:rPr>
          <w:rFonts w:ascii="Calibri" w:cs="Calibri" w:eastAsia="Calibri" w:hAnsi="Calibri"/>
          <w:color w:val="111111"/>
          <w:sz w:val="20"/>
          <w:szCs w:val="20"/>
        </w:rPr>
        <w:t xml:space="preserve">2FA is recommended for: Institute Owner.</w:t>
      </w:r>
    </w:p>
    <w:p>
      <w:pPr>
        <w:pStyle w:val="ListParagraph"/>
        <w:numPr>
          <w:ilvl w:val="0"/>
          <w:numId w:val="2"/>
        </w:numPr>
        <w:spacing w:after="40" w:before="40"/>
      </w:pPr>
      <w:r>
        <w:rPr>
          <w:rFonts w:ascii="Calibri" w:cs="Calibri" w:eastAsia="Calibri" w:hAnsi="Calibri"/>
          <w:color w:val="111111"/>
          <w:sz w:val="20"/>
          <w:szCs w:val="20"/>
        </w:rPr>
        <w:t xml:space="preserve">2FA is optional for: Receptionist, Teacher.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C00" w:sz="1"/>
              <w:left w:val="single" w:color="C05C00" w:sz="14"/>
              <w:bottom w:val="single" w:color="C05C00" w:sz="1"/>
              <w:right w:val="single" w:color="C05C00" w:sz="1"/>
            </w:tcBorders>
            <w:shd w:fill="FFF0E0" w:val="clear"/>
            <w:tcMar>
              <w:top w:type="dxa" w:w="120"/>
              <w:left w:type="dxa" w:w="240"/>
              <w:bottom w:type="dxa" w:w="120"/>
              <w:right w:type="dxa" w:w="200"/>
            </w:tcMar>
          </w:tcPr>
          <w:p>
            <w:pPr>
              <w:spacing w:after="40" w:before="0"/>
            </w:pPr>
            <w:r>
              <w:rPr>
                <w:rFonts w:ascii="Calibri" w:cs="Calibri" w:eastAsia="Calibri" w:hAnsi="Calibri"/>
                <w:b/>
                <w:bCs/>
                <w:color w:val="C05C00"/>
                <w:sz w:val="18"/>
                <w:szCs w:val="18"/>
              </w:rPr>
              <w:t xml:space="preserve">⚠ IMPORTANT</w:t>
            </w:r>
          </w:p>
          <w:p>
            <w:pPr>
              <w:spacing w:after="0" w:before="0"/>
            </w:pPr>
            <w:r>
              <w:rPr>
                <w:rFonts w:ascii="Calibri" w:cs="Calibri" w:eastAsia="Calibri" w:hAnsi="Calibri"/>
                <w:color w:val="111111"/>
                <w:sz w:val="19"/>
                <w:szCs w:val="19"/>
              </w:rPr>
              <w:t xml:space="preserve">If a staff member with a financial role (Accountant, Branch Admin) cannot access 2FA (lost phone, etc.), the account must be temporarily suspended and re-onboarded with 2FA re-enrollment. Under no circumstances should 2FA be disabled permanently for a financial role.</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10.3 Audit Log Review SOP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60"/>
        <w:gridCol w:w="23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Responsible</w:t>
            </w:r>
          </w:p>
        </w:tc>
        <w:tc>
          <w:tcPr>
            <w:tcW w:type="dxa" w:w="44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Action</w:t>
            </w:r>
          </w:p>
        </w:tc>
        <w:tc>
          <w:tcPr>
            <w:tcW w:type="dxa" w:w="23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Notes / Rules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Super Admin / Auditor</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At the start of each month, run the Audit Log Report for the previous month. Filter by: payment voids, payment approvals, journal postings, permission changes, period close actions.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The audit log is tamper-proof. It is written once and locked.</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Super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Review for anomalies: approvals outside business hours, large amounts, the same user creating and approving their own transactions (maker-checker violation), bulk payment entries.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Super Admin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Flag any anomalies for investigation. Prepare a short memo if significant issues are found. Present to the institute owner.</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Even if nothing is found, the audit log review must be documented as completed each month.</w:t>
            </w:r>
          </w:p>
        </w:tc>
      </w:tr>
    </w:tbl>
    <w:p>
      <w:pPr>
        <w:spacing w:after="40" w:before="40"/>
      </w:pPr>
      <w:r>
        <w:t xml:space="preserve"/>
      </w:r>
    </w:p>
    <w:p>
      <w:r>
        <w:br w:type="page"/>
      </w:r>
    </w:p>
    <w:p>
      <w:pPr>
        <w:pStyle w:val="Heading1"/>
        <w:spacing w:after="160" w:before="360"/>
      </w:pPr>
      <w:r>
        <w:rPr>
          <w:rFonts w:ascii="Calibri" w:cs="Calibri" w:eastAsia="Calibri" w:hAnsi="Calibri"/>
          <w:b/>
          <w:bCs/>
          <w:color w:val="1A3C5E"/>
          <w:sz w:val="40"/>
          <w:szCs w:val="40"/>
        </w:rPr>
        <w:t xml:space="preserve">11. DEVELOPMENT &amp; RELEASE MANAGEMENT SOP</w:t>
      </w:r>
    </w:p>
    <w:p>
      <w:pPr>
        <w:pBdr>
          <w:bottom w:val="single" w:color="2563A8" w:sz="6" w:space="1"/>
        </w:pBdr>
        <w:spacing w:after="100" w:before="100"/>
      </w:pPr>
      <w:r>
        <w:t xml:space="preserve"/>
      </w:r>
    </w:p>
    <w:p>
      <w:pPr>
        <w:spacing w:after="60" w:before="60"/>
        <w:jc w:val="left"/>
      </w:pPr>
      <w:r>
        <w:rPr>
          <w:rFonts w:ascii="Calibri" w:cs="Calibri" w:eastAsia="Calibri" w:hAnsi="Calibri"/>
          <w:b w:val="false"/>
          <w:bCs w:val="false"/>
          <w:i w:val="false"/>
          <w:iCs w:val="false"/>
          <w:color w:val="111111"/>
          <w:sz w:val="20"/>
          <w:szCs w:val="20"/>
        </w:rPr>
        <w:t xml:space="preserve">This section governs how the TCMS software itself is developed, tested, and deployed. It applies to the development team, not to institute staff.</w:t>
      </w:r>
    </w:p>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11.1 Development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60"/>
        <w:gridCol w:w="23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Responsible</w:t>
            </w:r>
          </w:p>
        </w:tc>
        <w:tc>
          <w:tcPr>
            <w:tcW w:type="dxa" w:w="44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Action</w:t>
            </w:r>
          </w:p>
        </w:tc>
        <w:tc>
          <w:tcPr>
            <w:tcW w:type="dxa" w:w="23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Notes / Rules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Developer</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Pick up a ticket from the backlog. Confirm acceptance criteria and expected behavior before writing code.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Never start coding without a clear ticket. Ambiguous requirements must be clarified first.</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Developer</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Create a feature branch from the development branch: git checkout -b feature/TICKET-ID-short-description.</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Branch names must include the ticket ID.</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Developer</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Implement backend: models → migrations → serializers → services → permissions → API views → tests.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Tests are not optional. Every service method touching money or permissions must have a unit test.</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4</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Developer</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Implement frontend: TypeScript types → Zod schema → API hook (TanStack Query) → component/form → page.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Frontend never calculates financial amounts. All calculations stay in the backend service layer.</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5</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Developer</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Run full test suite locally: pytest (backend), vitest (frontend), playwright E2E for critical flows.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Do not push code that breaks existing tests.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6</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Developer</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Open Pull Request with: description of change, screenshots for UI changes, list of any accounting effects, migration notes.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If the change touches billing, payroll, or accounting — state the accounting effect explicitly in the PR.</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7</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Senior Developer / Tech Lead</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Review and approve the PR. Merge to development branch.</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8</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Developer / DevOps</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Deploy to staging. Run smoke tests. Verify accounting entries are correct using sample data.</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Financial features must always be tested on staging with realistic data before production.</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11.2 Production Deployment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60"/>
        <w:gridCol w:w="23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Responsible</w:t>
            </w:r>
          </w:p>
        </w:tc>
        <w:tc>
          <w:tcPr>
            <w:tcW w:type="dxa" w:w="44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Action</w:t>
            </w:r>
          </w:p>
        </w:tc>
        <w:tc>
          <w:tcPr>
            <w:tcW w:type="dxa" w:w="23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Notes / Rules</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DevOps / Tech Lead</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Announce deployment window to institute staff. Schedule during lowest usage period (e.g., Sunday morning 6am–8am Nepal time).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Never deploy to production during active business hours without explicit authorization.</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DevOps</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Take full PostgreSQL backup: pg_dump. Verify backup file size is non-zero. Store encrypted on offsite storage.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The backup must be taken within 30 minutes before deployment. "Yesterday's backup" is not acceptable.</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DevOps</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Pull new Docker images. Apply database migrations: python manage.py migrate. Review migration output for warnings.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If migration fails, abort deployment immediately and restore from backup.</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4</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DevOps</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Restart all services: backend (Gunicorn), frontend (Next.js), Celery worker, Celery beat.</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5</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DevOps</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Run smoke tests: login, student list, payment entry, trial balance generation.</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If any smoke test fails, roll back immediately using the pre-deployment backup.</w:t>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6</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DevOps</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Notify staff that the system is available. Monitor error logs (Sentry) for 30 minutes post-deployment.</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
            </w:r>
          </w:p>
        </w:tc>
      </w:tr>
      <w:tr>
        <w:tc>
          <w:tcPr>
            <w:tcW w:type="dxa" w:w="600"/>
            <w:tcBorders>
              <w:top w:val="single" w:color="CCCCCC" w:sz="1"/>
              <w:left w:val="single" w:color="CCCCCC" w:sz="1"/>
              <w:bottom w:val="single" w:color="CCCCCC" w:sz="1"/>
              <w:right w:val="single" w:color="CCCCCC" w:sz="1"/>
            </w:tcBorders>
            <w:shd w:fill="DBE9F8"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111111"/>
                <w:sz w:val="19"/>
                <w:szCs w:val="19"/>
              </w:rPr>
              <w:t xml:space="preserve">7</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11111"/>
                <w:sz w:val="19"/>
                <w:szCs w:val="19"/>
              </w:rPr>
              <w:t xml:space="preserve">Tech Lead</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File the release note: version, changes, deployment time, person who deployed, backup reference.</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i/>
                <w:iCs/>
                <w:color w:val="111111"/>
                <w:sz w:val="18"/>
                <w:szCs w:val="18"/>
              </w:rPr>
              <w:t xml:space="preserve">Release notes are permanent records.</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11.3 Financial Feature Testing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1"/>
              <w:left w:val="single" w:color="0F5132" w:sz="14"/>
              <w:bottom w:val="single" w:color="0F5132" w:sz="1"/>
              <w:right w:val="single" w:color="0F5132" w:sz="1"/>
            </w:tcBorders>
            <w:shd w:fill="D1E7DD" w:val="clear"/>
            <w:tcMar>
              <w:top w:type="dxa" w:w="120"/>
              <w:left w:type="dxa" w:w="240"/>
              <w:bottom w:type="dxa" w:w="120"/>
              <w:right w:type="dxa" w:w="200"/>
            </w:tcMar>
          </w:tcPr>
          <w:p>
            <w:pPr>
              <w:spacing w:after="40" w:before="0"/>
            </w:pPr>
            <w:r>
              <w:rPr>
                <w:rFonts w:ascii="Calibri" w:cs="Calibri" w:eastAsia="Calibri" w:hAnsi="Calibri"/>
                <w:b/>
                <w:bCs/>
                <w:color w:val="0F5132"/>
                <w:sz w:val="18"/>
                <w:szCs w:val="18"/>
              </w:rPr>
              <w:t xml:space="preserve">✔ RULE</w:t>
            </w:r>
          </w:p>
          <w:p>
            <w:pPr>
              <w:spacing w:after="0" w:before="0"/>
            </w:pPr>
            <w:r>
              <w:rPr>
                <w:rFonts w:ascii="Calibri" w:cs="Calibri" w:eastAsia="Calibri" w:hAnsi="Calibri"/>
                <w:color w:val="111111"/>
                <w:sz w:val="19"/>
                <w:szCs w:val="19"/>
              </w:rPr>
              <w:t xml:space="preserve">Every feature that touches fees, payments, teacher earnings, or journal entries must pass all of the following tests before merging to production.</w:t>
            </w:r>
          </w:p>
        </w:tc>
      </w:tr>
    </w:tbl>
    <w:p>
      <w:pPr>
        <w:spacing w:after="40" w:before="40"/>
      </w:pPr>
      <w:r>
        <w:t xml:space="preserve"/>
      </w:r>
    </w:p>
    <w:p>
      <w:pPr>
        <w:pStyle w:val="ListParagraph"/>
        <w:numPr>
          <w:ilvl w:val="0"/>
          <w:numId w:val="3"/>
        </w:numPr>
        <w:spacing w:after="50" w:before="50"/>
      </w:pPr>
      <w:r>
        <w:rPr>
          <w:rFonts w:ascii="Calibri" w:cs="Calibri" w:eastAsia="Calibri" w:hAnsi="Calibri"/>
          <w:color w:val="111111"/>
          <w:sz w:val="20"/>
          <w:szCs w:val="20"/>
        </w:rPr>
        <w:t xml:space="preserve">Invoice/due generation creates correct journal entry (Dr Student Receivable / Cr Revenue)</w:t>
      </w:r>
    </w:p>
    <w:p>
      <w:pPr>
        <w:pStyle w:val="ListParagraph"/>
        <w:numPr>
          <w:ilvl w:val="0"/>
          <w:numId w:val="3"/>
        </w:numPr>
        <w:spacing w:after="50" w:before="50"/>
      </w:pPr>
      <w:r>
        <w:rPr>
          <w:rFonts w:ascii="Calibri" w:cs="Calibri" w:eastAsia="Calibri" w:hAnsi="Calibri"/>
          <w:color w:val="111111"/>
          <w:sz w:val="20"/>
          <w:szCs w:val="20"/>
        </w:rPr>
        <w:t xml:space="preserve">Cash payment creates correct journal entry (Dr Cash / Cr Student Receivable)</w:t>
      </w:r>
    </w:p>
    <w:p>
      <w:pPr>
        <w:pStyle w:val="ListParagraph"/>
        <w:numPr>
          <w:ilvl w:val="0"/>
          <w:numId w:val="3"/>
        </w:numPr>
        <w:spacing w:after="50" w:before="50"/>
      </w:pPr>
      <w:r>
        <w:rPr>
          <w:rFonts w:ascii="Calibri" w:cs="Calibri" w:eastAsia="Calibri" w:hAnsi="Calibri"/>
          <w:color w:val="111111"/>
          <w:sz w:val="20"/>
          <w:szCs w:val="20"/>
        </w:rPr>
        <w:t xml:space="preserve">Bank payment creates correct journal entry (Dr Bank Account / Cr Student Receivable)</w:t>
      </w:r>
    </w:p>
    <w:p>
      <w:pPr>
        <w:pStyle w:val="ListParagraph"/>
        <w:numPr>
          <w:ilvl w:val="0"/>
          <w:numId w:val="3"/>
        </w:numPr>
        <w:spacing w:after="50" w:before="50"/>
      </w:pPr>
      <w:r>
        <w:rPr>
          <w:rFonts w:ascii="Calibri" w:cs="Calibri" w:eastAsia="Calibri" w:hAnsi="Calibri"/>
          <w:color w:val="111111"/>
          <w:sz w:val="20"/>
          <w:szCs w:val="20"/>
        </w:rPr>
        <w:t xml:space="preserve">Partial payment leaves correct balance on the due</w:t>
      </w:r>
    </w:p>
    <w:p>
      <w:pPr>
        <w:pStyle w:val="ListParagraph"/>
        <w:numPr>
          <w:ilvl w:val="0"/>
          <w:numId w:val="3"/>
        </w:numPr>
        <w:spacing w:after="50" w:before="50"/>
      </w:pPr>
      <w:r>
        <w:rPr>
          <w:rFonts w:ascii="Calibri" w:cs="Calibri" w:eastAsia="Calibri" w:hAnsi="Calibri"/>
          <w:color w:val="111111"/>
          <w:sz w:val="20"/>
          <w:szCs w:val="20"/>
        </w:rPr>
        <w:t xml:space="preserve">Advance payment posts as liability (Dr Cash / Cr Student Advance Revenue — NOT revenue)</w:t>
      </w:r>
    </w:p>
    <w:p>
      <w:pPr>
        <w:pStyle w:val="ListParagraph"/>
        <w:numPr>
          <w:ilvl w:val="0"/>
          <w:numId w:val="3"/>
        </w:numPr>
        <w:spacing w:after="50" w:before="50"/>
      </w:pPr>
      <w:r>
        <w:rPr>
          <w:rFonts w:ascii="Calibri" w:cs="Calibri" w:eastAsia="Calibri" w:hAnsi="Calibri"/>
          <w:color w:val="111111"/>
          <w:sz w:val="20"/>
          <w:szCs w:val="20"/>
        </w:rPr>
        <w:t xml:space="preserve">Advance application reduces liability and receivable correctly</w:t>
      </w:r>
    </w:p>
    <w:p>
      <w:pPr>
        <w:pStyle w:val="ListParagraph"/>
        <w:numPr>
          <w:ilvl w:val="0"/>
          <w:numId w:val="3"/>
        </w:numPr>
        <w:spacing w:after="50" w:before="50"/>
      </w:pPr>
      <w:r>
        <w:rPr>
          <w:rFonts w:ascii="Calibri" w:cs="Calibri" w:eastAsia="Calibri" w:hAnsi="Calibri"/>
          <w:color w:val="111111"/>
          <w:sz w:val="20"/>
          <w:szCs w:val="20"/>
        </w:rPr>
        <w:t xml:space="preserve">Discount after invoice posts to Discount Allowed expense (not just reduces amount)</w:t>
      </w:r>
    </w:p>
    <w:p>
      <w:pPr>
        <w:pStyle w:val="ListParagraph"/>
        <w:numPr>
          <w:ilvl w:val="0"/>
          <w:numId w:val="3"/>
        </w:numPr>
        <w:spacing w:after="50" w:before="50"/>
      </w:pPr>
      <w:r>
        <w:rPr>
          <w:rFonts w:ascii="Calibri" w:cs="Calibri" w:eastAsia="Calibri" w:hAnsi="Calibri"/>
          <w:color w:val="111111"/>
          <w:sz w:val="20"/>
          <w:szCs w:val="20"/>
        </w:rPr>
        <w:t xml:space="preserve">Fine after due posts as additional receivable (Dr Student Receivable / Cr Fine Income)</w:t>
      </w:r>
    </w:p>
    <w:p>
      <w:pPr>
        <w:pStyle w:val="ListParagraph"/>
        <w:numPr>
          <w:ilvl w:val="0"/>
          <w:numId w:val="3"/>
        </w:numPr>
        <w:spacing w:after="50" w:before="50"/>
      </w:pPr>
      <w:r>
        <w:rPr>
          <w:rFonts w:ascii="Calibri" w:cs="Calibri" w:eastAsia="Calibri" w:hAnsi="Calibri"/>
          <w:color w:val="111111"/>
          <w:sz w:val="20"/>
          <w:szCs w:val="20"/>
        </w:rPr>
        <w:t xml:space="preserve">Teacher earning recognition posts correct entry (Dr Teacher Salary Expense / Cr Teacher Payable)</w:t>
      </w:r>
    </w:p>
    <w:p>
      <w:pPr>
        <w:pStyle w:val="ListParagraph"/>
        <w:numPr>
          <w:ilvl w:val="0"/>
          <w:numId w:val="3"/>
        </w:numPr>
        <w:spacing w:after="50" w:before="50"/>
      </w:pPr>
      <w:r>
        <w:rPr>
          <w:rFonts w:ascii="Calibri" w:cs="Calibri" w:eastAsia="Calibri" w:hAnsi="Calibri"/>
          <w:color w:val="111111"/>
          <w:sz w:val="20"/>
          <w:szCs w:val="20"/>
        </w:rPr>
        <w:t xml:space="preserve">Teacher payment posts correctly (Dr Teacher Payable / Cr Cash or Bank)</w:t>
      </w:r>
    </w:p>
    <w:p>
      <w:pPr>
        <w:pStyle w:val="ListParagraph"/>
        <w:numPr>
          <w:ilvl w:val="0"/>
          <w:numId w:val="3"/>
        </w:numPr>
        <w:spacing w:after="50" w:before="50"/>
      </w:pPr>
      <w:r>
        <w:rPr>
          <w:rFonts w:ascii="Calibri" w:cs="Calibri" w:eastAsia="Calibri" w:hAnsi="Calibri"/>
          <w:color w:val="111111"/>
          <w:sz w:val="20"/>
          <w:szCs w:val="20"/>
        </w:rPr>
        <w:t xml:space="preserve">Payment void does not disappear — it creates a reversal entry</w:t>
      </w:r>
    </w:p>
    <w:p>
      <w:pPr>
        <w:pStyle w:val="ListParagraph"/>
        <w:numPr>
          <w:ilvl w:val="0"/>
          <w:numId w:val="3"/>
        </w:numPr>
        <w:spacing w:after="50" w:before="50"/>
      </w:pPr>
      <w:r>
        <w:rPr>
          <w:rFonts w:ascii="Calibri" w:cs="Calibri" w:eastAsia="Calibri" w:hAnsi="Calibri"/>
          <w:color w:val="111111"/>
          <w:sz w:val="20"/>
          <w:szCs w:val="20"/>
        </w:rPr>
        <w:t xml:space="preserve">Closed period blocks new postings — transaction is rejected with clear error</w:t>
      </w:r>
    </w:p>
    <w:p>
      <w:pPr>
        <w:pStyle w:val="ListParagraph"/>
        <w:numPr>
          <w:ilvl w:val="0"/>
          <w:numId w:val="3"/>
        </w:numPr>
        <w:spacing w:after="50" w:before="50"/>
      </w:pPr>
      <w:r>
        <w:rPr>
          <w:rFonts w:ascii="Calibri" w:cs="Calibri" w:eastAsia="Calibri" w:hAnsi="Calibri"/>
          <w:color w:val="111111"/>
          <w:sz w:val="20"/>
          <w:szCs w:val="20"/>
        </w:rPr>
        <w:t xml:space="preserve">Trial Balance debit total equals credit total after all of the above</w:t>
      </w:r>
    </w:p>
    <w:p>
      <w:pPr>
        <w:pStyle w:val="ListParagraph"/>
        <w:numPr>
          <w:ilvl w:val="0"/>
          <w:numId w:val="3"/>
        </w:numPr>
        <w:spacing w:after="50" w:before="50"/>
      </w:pPr>
      <w:r>
        <w:rPr>
          <w:rFonts w:ascii="Calibri" w:cs="Calibri" w:eastAsia="Calibri" w:hAnsi="Calibri"/>
          <w:color w:val="111111"/>
          <w:sz w:val="20"/>
          <w:szCs w:val="20"/>
        </w:rPr>
        <w:t xml:space="preserve">Reports match ledger totals — not just billing table totals</w:t>
      </w:r>
    </w:p>
    <w:p>
      <w:pPr>
        <w:spacing w:after="40" w:before="40"/>
      </w:pPr>
      <w:r>
        <w:t xml:space="preserve"/>
      </w:r>
    </w:p>
    <w:p>
      <w:r>
        <w:br w:type="page"/>
      </w:r>
    </w:p>
    <w:p>
      <w:pPr>
        <w:pStyle w:val="Heading1"/>
        <w:spacing w:after="160" w:before="360"/>
      </w:pPr>
      <w:r>
        <w:rPr>
          <w:rFonts w:ascii="Calibri" w:cs="Calibri" w:eastAsia="Calibri" w:hAnsi="Calibri"/>
          <w:b/>
          <w:bCs/>
          <w:color w:val="1A3C5E"/>
          <w:sz w:val="40"/>
          <w:szCs w:val="40"/>
        </w:rPr>
        <w:t xml:space="preserve">12. BACKUP, DISASTER RECOVERY &amp; BUSINESS CONTINUITY SOP</w:t>
      </w:r>
    </w:p>
    <w:p>
      <w:pPr>
        <w:pBdr>
          <w:bottom w:val="single" w:color="2563A8" w:sz="6" w:space="1"/>
        </w:pBdr>
        <w:spacing w:after="100" w:before="100"/>
      </w:pPr>
      <w:r>
        <w:t xml:space="preserve"/>
      </w:r>
    </w:p>
    <w:p>
      <w:pPr>
        <w:pStyle w:val="Heading2"/>
        <w:spacing w:after="120" w:before="280"/>
      </w:pPr>
      <w:r>
        <w:rPr>
          <w:rFonts w:ascii="Calibri" w:cs="Calibri" w:eastAsia="Calibri" w:hAnsi="Calibri"/>
          <w:b/>
          <w:bCs/>
          <w:color w:val="2563A8"/>
          <w:sz w:val="30"/>
          <w:szCs w:val="30"/>
        </w:rPr>
        <w:t xml:space="preserve">12.1 Backup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Backup Type</w:t>
            </w:r>
          </w:p>
        </w:tc>
        <w:tc>
          <w:tcPr>
            <w:tcW w:type="dxa" w:w="63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Schedule / Retention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PostgreSQL full database dump</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Daily — retained for 30 days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PostgreSQL WAL archive (Point-in-Time Recovery)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Continuous — retained for 7 days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Media files (uploaded documents, logos, receipts)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Daily — retained for 90 days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Weekly full snapshot (database + media + config)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Weekly — retained for 6 months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Monthly archive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Monthly — retained for 7 years (financial record retention requirement)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1"/>
              <w:left w:val="single" w:color="0F5132" w:sz="14"/>
              <w:bottom w:val="single" w:color="0F5132" w:sz="1"/>
              <w:right w:val="single" w:color="0F5132" w:sz="1"/>
            </w:tcBorders>
            <w:shd w:fill="D1E7DD" w:val="clear"/>
            <w:tcMar>
              <w:top w:type="dxa" w:w="120"/>
              <w:left w:type="dxa" w:w="240"/>
              <w:bottom w:type="dxa" w:w="120"/>
              <w:right w:type="dxa" w:w="200"/>
            </w:tcMar>
          </w:tcPr>
          <w:p>
            <w:pPr>
              <w:spacing w:after="40" w:before="0"/>
            </w:pPr>
            <w:r>
              <w:rPr>
                <w:rFonts w:ascii="Calibri" w:cs="Calibri" w:eastAsia="Calibri" w:hAnsi="Calibri"/>
                <w:b/>
                <w:bCs/>
                <w:color w:val="0F5132"/>
                <w:sz w:val="18"/>
                <w:szCs w:val="18"/>
              </w:rPr>
              <w:t xml:space="preserve">✔ RULE</w:t>
            </w:r>
          </w:p>
          <w:p>
            <w:pPr>
              <w:spacing w:after="0" w:before="0"/>
            </w:pPr>
            <w:r>
              <w:rPr>
                <w:rFonts w:ascii="Calibri" w:cs="Calibri" w:eastAsia="Calibri" w:hAnsi="Calibri"/>
                <w:color w:val="111111"/>
                <w:sz w:val="19"/>
                <w:szCs w:val="19"/>
              </w:rPr>
              <w:t xml:space="preserve">A backup is not a real backup until a restore has been successfully tested. Schedule a quarterly restore drill: pick a random backup, restore to a test server, verify the data is intact and the system is functional. Document the drill result.</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12.2 Data Recovery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Scenario</w:t>
            </w:r>
          </w:p>
        </w:tc>
        <w:tc>
          <w:tcPr>
            <w:tcW w:type="dxa" w:w="61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Response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Accidental deletion of student records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Restore from last daily backup. If within 24h, use WAL replay to recover to exact point of deletion.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Corrupt database after bad migration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Immediately roll back using pre-deployment backup taken before the migration.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Server hardware failure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Deploy new server from Docker Compose. Restore latest backup. System should be live within 4 hours.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Ransomware / security compromise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Isolate server. Do not pay ransom. Restore from last clean backup (pre-infection). Report to cybersecurity authorities.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Accidental financial record modification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Financial records are immutable. If somehow modified, trace via audit log, reverse the entry, and re-post correctly.</w:t>
            </w:r>
          </w:p>
        </w:tc>
      </w:tr>
    </w:tbl>
    <w:p>
      <w:pPr>
        <w:spacing w:after="40" w:before="40"/>
      </w:pPr>
      <w:r>
        <w:t xml:space="preserve"/>
      </w:r>
    </w:p>
    <w:p>
      <w:r>
        <w:br w:type="page"/>
      </w:r>
    </w:p>
    <w:p>
      <w:pPr>
        <w:pStyle w:val="Heading1"/>
        <w:spacing w:after="160" w:before="360"/>
      </w:pPr>
      <w:r>
        <w:rPr>
          <w:rFonts w:ascii="Calibri" w:cs="Calibri" w:eastAsia="Calibri" w:hAnsi="Calibri"/>
          <w:b/>
          <w:bCs/>
          <w:color w:val="1A3C5E"/>
          <w:sz w:val="40"/>
          <w:szCs w:val="40"/>
        </w:rPr>
        <w:t xml:space="preserve">13. GOLDEN RULES — MANDATORY FOR ALL STAFF</w:t>
      </w:r>
    </w:p>
    <w:p>
      <w:pPr>
        <w:pBdr>
          <w:bottom w:val="single" w:color="2563A8" w:sz="6" w:space="1"/>
        </w:pBdr>
        <w:spacing w:after="100" w:before="10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2020" w:sz="1"/>
              <w:left w:val="single" w:color="A52020" w:sz="14"/>
              <w:bottom w:val="single" w:color="A52020" w:sz="1"/>
              <w:right w:val="single" w:color="A52020" w:sz="1"/>
            </w:tcBorders>
            <w:shd w:fill="FADADD" w:val="clear"/>
            <w:tcMar>
              <w:top w:type="dxa" w:w="120"/>
              <w:left w:type="dxa" w:w="240"/>
              <w:bottom w:type="dxa" w:w="120"/>
              <w:right w:type="dxa" w:w="200"/>
            </w:tcMar>
          </w:tcPr>
          <w:p>
            <w:pPr>
              <w:spacing w:after="40" w:before="0"/>
            </w:pPr>
            <w:r>
              <w:rPr>
                <w:rFonts w:ascii="Calibri" w:cs="Calibri" w:eastAsia="Calibri" w:hAnsi="Calibri"/>
                <w:b/>
                <w:bCs/>
                <w:color w:val="A52020"/>
                <w:sz w:val="18"/>
                <w:szCs w:val="18"/>
              </w:rPr>
              <w:t xml:space="preserve">✖ CRITICAL</w:t>
            </w:r>
          </w:p>
          <w:p>
            <w:pPr>
              <w:spacing w:after="0" w:before="0"/>
            </w:pPr>
            <w:r>
              <w:rPr>
                <w:rFonts w:ascii="Calibri" w:cs="Calibri" w:eastAsia="Calibri" w:hAnsi="Calibri"/>
                <w:color w:val="111111"/>
                <w:sz w:val="19"/>
                <w:szCs w:val="19"/>
              </w:rPr>
              <w:t xml:space="preserve">These rules are non-negotiable. Violation of any of these rules by any staff member is a policy breach and will be treated as a disciplinary matter.</w:t>
            </w:r>
          </w:p>
        </w:tc>
      </w:tr>
    </w:tbl>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Financial Golden Rules</w:t>
      </w:r>
    </w:p>
    <w:p>
      <w:pPr>
        <w:pStyle w:val="ListParagraph"/>
        <w:numPr>
          <w:ilvl w:val="0"/>
          <w:numId w:val="3"/>
        </w:numPr>
        <w:spacing w:after="50" w:before="50"/>
      </w:pPr>
      <w:r>
        <w:rPr>
          <w:rFonts w:ascii="Calibri" w:cs="Calibri" w:eastAsia="Calibri" w:hAnsi="Calibri"/>
          <w:color w:val="111111"/>
          <w:sz w:val="20"/>
          <w:szCs w:val="20"/>
        </w:rPr>
        <w:t xml:space="preserve">Never collect money without issuing an acknowledgement — even a draft slip.</w:t>
      </w:r>
    </w:p>
    <w:p>
      <w:pPr>
        <w:pStyle w:val="ListParagraph"/>
        <w:numPr>
          <w:ilvl w:val="0"/>
          <w:numId w:val="3"/>
        </w:numPr>
        <w:spacing w:after="50" w:before="50"/>
      </w:pPr>
      <w:r>
        <w:rPr>
          <w:rFonts w:ascii="Calibri" w:cs="Calibri" w:eastAsia="Calibri" w:hAnsi="Calibri"/>
          <w:color w:val="111111"/>
          <w:sz w:val="20"/>
          <w:szCs w:val="20"/>
        </w:rPr>
        <w:t xml:space="preserve">Never record a payment without physically receiving the money first.</w:t>
      </w:r>
    </w:p>
    <w:p>
      <w:pPr>
        <w:pStyle w:val="ListParagraph"/>
        <w:numPr>
          <w:ilvl w:val="0"/>
          <w:numId w:val="3"/>
        </w:numPr>
        <w:spacing w:after="50" w:before="50"/>
      </w:pPr>
      <w:r>
        <w:rPr>
          <w:rFonts w:ascii="Calibri" w:cs="Calibri" w:eastAsia="Calibri" w:hAnsi="Calibri"/>
          <w:color w:val="111111"/>
          <w:sz w:val="20"/>
          <w:szCs w:val="20"/>
        </w:rPr>
        <w:t xml:space="preserve">Never approve a payment you yourself created.</w:t>
      </w:r>
    </w:p>
    <w:p>
      <w:pPr>
        <w:pStyle w:val="ListParagraph"/>
        <w:numPr>
          <w:ilvl w:val="0"/>
          <w:numId w:val="3"/>
        </w:numPr>
        <w:spacing w:after="50" w:before="50"/>
      </w:pPr>
      <w:r>
        <w:rPr>
          <w:rFonts w:ascii="Calibri" w:cs="Calibri" w:eastAsia="Calibri" w:hAnsi="Calibri"/>
          <w:color w:val="111111"/>
          <w:sz w:val="20"/>
          <w:szCs w:val="20"/>
        </w:rPr>
        <w:t xml:space="preserve">Never edit a posted accounting entry. Use reversal and re-entry.</w:t>
      </w:r>
    </w:p>
    <w:p>
      <w:pPr>
        <w:pStyle w:val="ListParagraph"/>
        <w:numPr>
          <w:ilvl w:val="0"/>
          <w:numId w:val="3"/>
        </w:numPr>
        <w:spacing w:after="50" w:before="50"/>
      </w:pPr>
      <w:r>
        <w:rPr>
          <w:rFonts w:ascii="Calibri" w:cs="Calibri" w:eastAsia="Calibri" w:hAnsi="Calibri"/>
          <w:color w:val="111111"/>
          <w:sz w:val="20"/>
          <w:szCs w:val="20"/>
        </w:rPr>
        <w:t xml:space="preserve">Never post to a closed accounting period.</w:t>
      </w:r>
    </w:p>
    <w:p>
      <w:pPr>
        <w:pStyle w:val="ListParagraph"/>
        <w:numPr>
          <w:ilvl w:val="0"/>
          <w:numId w:val="3"/>
        </w:numPr>
        <w:spacing w:after="50" w:before="50"/>
      </w:pPr>
      <w:r>
        <w:rPr>
          <w:rFonts w:ascii="Calibri" w:cs="Calibri" w:eastAsia="Calibri" w:hAnsi="Calibri"/>
          <w:color w:val="111111"/>
          <w:sz w:val="20"/>
          <w:szCs w:val="20"/>
        </w:rPr>
        <w:t xml:space="preserve">Every cash collection must match the daily cash count. Every difference must be explained.</w:t>
      </w:r>
    </w:p>
    <w:p>
      <w:pPr>
        <w:pStyle w:val="ListParagraph"/>
        <w:numPr>
          <w:ilvl w:val="0"/>
          <w:numId w:val="3"/>
        </w:numPr>
        <w:spacing w:after="50" w:before="50"/>
      </w:pPr>
      <w:r>
        <w:rPr>
          <w:rFonts w:ascii="Calibri" w:cs="Calibri" w:eastAsia="Calibri" w:hAnsi="Calibri"/>
          <w:color w:val="111111"/>
          <w:sz w:val="20"/>
          <w:szCs w:val="20"/>
        </w:rPr>
        <w:t xml:space="preserve">Every bank payment must be verified against the bank statement before approving.</w:t>
      </w:r>
    </w:p>
    <w:p>
      <w:pPr>
        <w:pStyle w:val="ListParagraph"/>
        <w:numPr>
          <w:ilvl w:val="0"/>
          <w:numId w:val="3"/>
        </w:numPr>
        <w:spacing w:after="50" w:before="50"/>
      </w:pPr>
      <w:r>
        <w:rPr>
          <w:rFonts w:ascii="Calibri" w:cs="Calibri" w:eastAsia="Calibri" w:hAnsi="Calibri"/>
          <w:color w:val="111111"/>
          <w:sz w:val="20"/>
          <w:szCs w:val="20"/>
        </w:rPr>
        <w:t xml:space="preserve">Every discount above the threshold requires written approval.</w:t>
      </w:r>
    </w:p>
    <w:p>
      <w:pPr>
        <w:pStyle w:val="ListParagraph"/>
        <w:numPr>
          <w:ilvl w:val="0"/>
          <w:numId w:val="3"/>
        </w:numPr>
        <w:spacing w:after="50" w:before="50"/>
      </w:pPr>
      <w:r>
        <w:rPr>
          <w:rFonts w:ascii="Calibri" w:cs="Calibri" w:eastAsia="Calibri" w:hAnsi="Calibri"/>
          <w:color w:val="111111"/>
          <w:sz w:val="20"/>
          <w:szCs w:val="20"/>
        </w:rPr>
        <w:t xml:space="preserve">Advance payments are liabilities, not revenue. Never post them to revenue accounts.</w:t>
      </w:r>
    </w:p>
    <w:p>
      <w:pPr>
        <w:pStyle w:val="ListParagraph"/>
        <w:numPr>
          <w:ilvl w:val="0"/>
          <w:numId w:val="3"/>
        </w:numPr>
        <w:spacing w:after="50" w:before="50"/>
      </w:pPr>
      <w:r>
        <w:rPr>
          <w:rFonts w:ascii="Calibri" w:cs="Calibri" w:eastAsia="Calibri" w:hAnsi="Calibri"/>
          <w:color w:val="111111"/>
          <w:sz w:val="20"/>
          <w:szCs w:val="20"/>
        </w:rPr>
        <w:t xml:space="preserve">The General Ledger is the source of truth. When reports disagree, the ledger is correct.</w:t>
      </w:r>
    </w:p>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Operational Golden Rules</w:t>
      </w:r>
    </w:p>
    <w:p>
      <w:pPr>
        <w:pStyle w:val="ListParagraph"/>
        <w:numPr>
          <w:ilvl w:val="0"/>
          <w:numId w:val="3"/>
        </w:numPr>
        <w:spacing w:after="50" w:before="50"/>
      </w:pPr>
      <w:r>
        <w:rPr>
          <w:rFonts w:ascii="Calibri" w:cs="Calibri" w:eastAsia="Calibri" w:hAnsi="Calibri"/>
          <w:color w:val="111111"/>
          <w:sz w:val="20"/>
          <w:szCs w:val="20"/>
        </w:rPr>
        <w:t xml:space="preserve">A student cannot be enrolled without being admitted. Never skip the admission step.</w:t>
      </w:r>
    </w:p>
    <w:p>
      <w:pPr>
        <w:pStyle w:val="ListParagraph"/>
        <w:numPr>
          <w:ilvl w:val="0"/>
          <w:numId w:val="3"/>
        </w:numPr>
        <w:spacing w:after="50" w:before="50"/>
      </w:pPr>
      <w:r>
        <w:rPr>
          <w:rFonts w:ascii="Calibri" w:cs="Calibri" w:eastAsia="Calibri" w:hAnsi="Calibri"/>
          <w:color w:val="111111"/>
          <w:sz w:val="20"/>
          <w:szCs w:val="20"/>
        </w:rPr>
        <w:t xml:space="preserve">A student who has left must have their dues resolved — not ignored.</w:t>
      </w:r>
    </w:p>
    <w:p>
      <w:pPr>
        <w:pStyle w:val="ListParagraph"/>
        <w:numPr>
          <w:ilvl w:val="0"/>
          <w:numId w:val="3"/>
        </w:numPr>
        <w:spacing w:after="50" w:before="50"/>
      </w:pPr>
      <w:r>
        <w:rPr>
          <w:rFonts w:ascii="Calibri" w:cs="Calibri" w:eastAsia="Calibri" w:hAnsi="Calibri"/>
          <w:color w:val="111111"/>
          <w:sz w:val="20"/>
          <w:szCs w:val="20"/>
        </w:rPr>
        <w:t xml:space="preserve">Every document uploaded must be the actual document, not a placeholder.</w:t>
      </w:r>
    </w:p>
    <w:p>
      <w:pPr>
        <w:pStyle w:val="ListParagraph"/>
        <w:numPr>
          <w:ilvl w:val="0"/>
          <w:numId w:val="3"/>
        </w:numPr>
        <w:spacing w:after="50" w:before="50"/>
      </w:pPr>
      <w:r>
        <w:rPr>
          <w:rFonts w:ascii="Calibri" w:cs="Calibri" w:eastAsia="Calibri" w:hAnsi="Calibri"/>
          <w:color w:val="111111"/>
          <w:sz w:val="20"/>
          <w:szCs w:val="20"/>
        </w:rPr>
        <w:t xml:space="preserve">Never create or approve financial transactions outside of the system (offline notebooks, Excel sheets) as the primary record.</w:t>
      </w:r>
    </w:p>
    <w:p>
      <w:pPr>
        <w:pStyle w:val="ListParagraph"/>
        <w:numPr>
          <w:ilvl w:val="0"/>
          <w:numId w:val="3"/>
        </w:numPr>
        <w:spacing w:after="50" w:before="50"/>
      </w:pPr>
      <w:r>
        <w:rPr>
          <w:rFonts w:ascii="Calibri" w:cs="Calibri" w:eastAsia="Calibri" w:hAnsi="Calibri"/>
          <w:color w:val="111111"/>
          <w:sz w:val="20"/>
          <w:szCs w:val="20"/>
        </w:rPr>
        <w:t xml:space="preserve">Every user must use their own login. Account sharing is prohibited.</w:t>
      </w:r>
    </w:p>
    <w:p>
      <w:pPr>
        <w:pStyle w:val="ListParagraph"/>
        <w:numPr>
          <w:ilvl w:val="0"/>
          <w:numId w:val="3"/>
        </w:numPr>
        <w:spacing w:after="50" w:before="50"/>
      </w:pPr>
      <w:r>
        <w:rPr>
          <w:rFonts w:ascii="Calibri" w:cs="Calibri" w:eastAsia="Calibri" w:hAnsi="Calibri"/>
          <w:color w:val="111111"/>
          <w:sz w:val="20"/>
          <w:szCs w:val="20"/>
        </w:rPr>
        <w:t xml:space="preserve">Never share the system URL, credentials, or access with unauthorized persons.</w:t>
      </w:r>
    </w:p>
    <w:p>
      <w:pPr>
        <w:spacing w:after="40" w:before="40"/>
      </w:pPr>
      <w:r>
        <w:t xml:space="preserve"/>
      </w:r>
    </w:p>
    <w:p>
      <w:pPr>
        <w:pStyle w:val="Heading2"/>
        <w:spacing w:after="120" w:before="280"/>
      </w:pPr>
      <w:r>
        <w:rPr>
          <w:rFonts w:ascii="Calibri" w:cs="Calibri" w:eastAsia="Calibri" w:hAnsi="Calibri"/>
          <w:b/>
          <w:bCs/>
          <w:color w:val="2563A8"/>
          <w:sz w:val="30"/>
          <w:szCs w:val="30"/>
        </w:rPr>
        <w:t xml:space="preserve">Development Golden Rules</w:t>
      </w:r>
    </w:p>
    <w:p>
      <w:pPr>
        <w:pStyle w:val="ListParagraph"/>
        <w:numPr>
          <w:ilvl w:val="0"/>
          <w:numId w:val="3"/>
        </w:numPr>
        <w:spacing w:after="50" w:before="50"/>
      </w:pPr>
      <w:r>
        <w:rPr>
          <w:rFonts w:ascii="Calibri" w:cs="Calibri" w:eastAsia="Calibri" w:hAnsi="Calibri"/>
          <w:color w:val="111111"/>
          <w:sz w:val="20"/>
          <w:szCs w:val="20"/>
        </w:rPr>
        <w:t xml:space="preserve">The backend is the source of truth — never trust frontend-only validation for financial amounts.</w:t>
      </w:r>
    </w:p>
    <w:p>
      <w:pPr>
        <w:pStyle w:val="ListParagraph"/>
        <w:numPr>
          <w:ilvl w:val="0"/>
          <w:numId w:val="3"/>
        </w:numPr>
        <w:spacing w:after="50" w:before="50"/>
      </w:pPr>
      <w:r>
        <w:rPr>
          <w:rFonts w:ascii="Calibri" w:cs="Calibri" w:eastAsia="Calibri" w:hAnsi="Calibri"/>
          <w:color w:val="111111"/>
          <w:sz w:val="20"/>
          <w:szCs w:val="20"/>
        </w:rPr>
        <w:t xml:space="preserve">Never push to production without a backup.</w:t>
      </w:r>
    </w:p>
    <w:p>
      <w:pPr>
        <w:pStyle w:val="ListParagraph"/>
        <w:numPr>
          <w:ilvl w:val="0"/>
          <w:numId w:val="3"/>
        </w:numPr>
        <w:spacing w:after="50" w:before="50"/>
      </w:pPr>
      <w:r>
        <w:rPr>
          <w:rFonts w:ascii="Calibri" w:cs="Calibri" w:eastAsia="Calibri" w:hAnsi="Calibri"/>
          <w:color w:val="111111"/>
          <w:sz w:val="20"/>
          <w:szCs w:val="20"/>
        </w:rPr>
        <w:t xml:space="preserve">Every financial feature needs tests. A feature with no tests does not exist.</w:t>
      </w:r>
    </w:p>
    <w:p>
      <w:pPr>
        <w:pStyle w:val="ListParagraph"/>
        <w:numPr>
          <w:ilvl w:val="0"/>
          <w:numId w:val="3"/>
        </w:numPr>
        <w:spacing w:after="50" w:before="50"/>
      </w:pPr>
      <w:r>
        <w:rPr>
          <w:rFonts w:ascii="Calibri" w:cs="Calibri" w:eastAsia="Calibri" w:hAnsi="Calibri"/>
          <w:color w:val="111111"/>
          <w:sz w:val="20"/>
          <w:szCs w:val="20"/>
        </w:rPr>
        <w:t xml:space="preserve">Never silently swallow exceptions in payment or accounting service code.</w:t>
      </w:r>
    </w:p>
    <w:p>
      <w:pPr>
        <w:pStyle w:val="ListParagraph"/>
        <w:numPr>
          <w:ilvl w:val="0"/>
          <w:numId w:val="3"/>
        </w:numPr>
        <w:spacing w:after="50" w:before="50"/>
      </w:pPr>
      <w:r>
        <w:rPr>
          <w:rFonts w:ascii="Calibri" w:cs="Calibri" w:eastAsia="Calibri" w:hAnsi="Calibri"/>
          <w:color w:val="111111"/>
          <w:sz w:val="20"/>
          <w:szCs w:val="20"/>
        </w:rPr>
        <w:t xml:space="preserve">Never skip the staging deployment step.</w:t>
      </w:r>
    </w:p>
    <w:p>
      <w:pPr>
        <w:spacing w:after="40" w:before="40"/>
      </w:pPr>
      <w:r>
        <w:t xml:space="preserve"/>
      </w:r>
    </w:p>
    <w:p>
      <w:r>
        <w:br w:type="page"/>
      </w:r>
    </w:p>
    <w:p>
      <w:pPr>
        <w:pStyle w:val="Heading1"/>
        <w:spacing w:after="160" w:before="360"/>
      </w:pPr>
      <w:r>
        <w:rPr>
          <w:rFonts w:ascii="Calibri" w:cs="Calibri" w:eastAsia="Calibri" w:hAnsi="Calibri"/>
          <w:b/>
          <w:bCs/>
          <w:color w:val="1A3C5E"/>
          <w:sz w:val="40"/>
          <w:szCs w:val="40"/>
        </w:rPr>
        <w:t xml:space="preserve">APPENDIX A — CHART OF ACCOUNTS REFERENCE</w:t>
      </w:r>
    </w:p>
    <w:p>
      <w:pPr>
        <w:pBdr>
          <w:bottom w:val="single" w:color="2563A8" w:sz="6"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Account Code &amp; Name</w:t>
            </w:r>
          </w:p>
        </w:tc>
        <w:tc>
          <w:tcPr>
            <w:tcW w:type="dxa" w:w="58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Type / Normal Balance / Notes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1000 Assets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ASSET — Debit normal balance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1100 Cash and Cash Equivalents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ASSET — Group account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1110 Cash in Hand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ASSET — Physical cash at reception/office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1120 Bank Account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ASSET — Institute's primary bank account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1130 Online Wallet (eSewa/Khalti)</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ASSET — Digital payment wallets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1200 Accounts Receivable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ASSET — Group account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1210 Student Receivables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ASSET — Unpaid student invoices/dues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1300 Advances and Prepayments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ASSET — Group account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1310 Prepaid Teacher Salary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ASSET — Teacher paid before earning is recognized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1400 Fixed Assets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ASSET — Computers, furniture, buildings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1410 Accumulated Depreciation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ASSET (contra) — Reduces fixed asset value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2000 Liabilities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LIABILITY — Credit normal balance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2100 Accounts Payable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LIABILITY — Group account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2110 Teacher Payables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LIABILITY — Earned but unpaid teacher share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2200 Unearned Revenue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LIABILITY — Group account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2210 Student Advance Revenue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LIABILITY — Student money received before service delivered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2300 VAT Payable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LIABILITY — VAT collected but not yet remitted to IRD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2400 TDS Payable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LIABILITY — Tax deducted at source, to be remitted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2500 Accrued Expenses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LIABILITY — Expenses incurred but not yet paid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3000 Equity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EQUITY — Credit normal balance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3100 Owner Capital / Paid-in Capital</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EQUITY — Initial investment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3200 Retained Earnings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EQUITY — Accumulated profit after distributions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4000 Revenue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REVENUE — Credit normal balance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4100 Tuition Fee Revenue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REVENUE — Monthly/session tuition fees earned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4200 Admission Fee Revenue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REVENUE — One-time admission fees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4300 Exam Fee Revenue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REVENUE — Board exam, internal exam fees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4400 Fine Income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REVENUE — Late payment fines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4500 Other Academic Income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REVENUE — Miscellaneous education income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5000 Expenses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EXPENSE — Debit normal balance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5100 Teacher Salary Expense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EXPENSE — Teacher cost recognized from earnings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5200 Rent Expense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EXPENSE — Office/classroom rent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5300 Utilities Expense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EXPENSE — Electricity, internet, water</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5400 Staff Salary Expense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EXPENSE — Non-teacher admin staff salaries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5500 Marketing Expense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EXPENSE — Advertising, promotions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5600 Office Expense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EXPENSE — Stationery, printing, misc admin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5700 Depreciation Expense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EXPENSE — Periodic depreciation charge on fixed assets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5800 Discount Allowed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EXPENSE — Discount given to students on dues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5900 Bad Debt Expense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EXPENSE — Uncollectable student receivables written off</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6000 Other Income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OTHER INCOME — Interest received, miscellaneous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7000 Other Expense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OTHER EXPENSE — Bank charges, misc expenses</w:t>
            </w:r>
          </w:p>
        </w:tc>
      </w:tr>
    </w:tbl>
    <w:p>
      <w:pPr>
        <w:spacing w:after="40" w:before="40"/>
      </w:pPr>
      <w:r>
        <w:t xml:space="preserve"/>
      </w:r>
    </w:p>
    <w:p>
      <w:r>
        <w:br w:type="page"/>
      </w:r>
    </w:p>
    <w:p>
      <w:pPr>
        <w:pStyle w:val="Heading1"/>
        <w:spacing w:after="160" w:before="360"/>
      </w:pPr>
      <w:r>
        <w:rPr>
          <w:rFonts w:ascii="Calibri" w:cs="Calibri" w:eastAsia="Calibri" w:hAnsi="Calibri"/>
          <w:b/>
          <w:bCs/>
          <w:color w:val="1A3C5E"/>
          <w:sz w:val="40"/>
          <w:szCs w:val="40"/>
        </w:rPr>
        <w:t xml:space="preserve">APPENDIX B — ACCOUNTING ENTRY QUICK REFERENCE</w:t>
      </w:r>
    </w:p>
    <w:p>
      <w:pPr>
        <w:pBdr>
          <w:bottom w:val="single" w:color="2563A8" w:sz="6"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Transaction</w:t>
            </w:r>
          </w:p>
        </w:tc>
        <w:tc>
          <w:tcPr>
            <w:tcW w:type="dxa" w:w="51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19"/>
                <w:szCs w:val="19"/>
              </w:rPr>
              <w:t xml:space="preserve">Journal Entry (Debit → Credit)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Due generated for monthly fee Rs.2,000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Dr Student Receivables 2,000 → Cr Tuition Fee Revenue 2,000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Admission fee due Rs.5,000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Dr Student Receivables 5,000 → Cr Admission Fee Revenue 5,000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Student pays cash Rs.2,000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Dr Cash in Hand 2,000 → Cr Student Receivables 2,000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Student pays by bank transfer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Dr Bank Account XXXX → Cr Student Receivables XXXX</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Student pays by eSewa/Khalti</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Dr Online Wallet XXXX → Cr Student Receivables XXXX</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Advance payment received Rs.10,000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Dr Cash in Hand 10,000 → Cr Student Advance Revenue 10,000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Advance applied to due Rs.2,000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Dr Student Advance Revenue 2,000 → Cr Student Receivables 2,000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Discount granted Rs.500 on due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Dr Discount Allowed 500 → Cr Student Receivables 500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Late fine added Rs.200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Dr Student Receivables 200 → Cr Fine Income 200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Student receivable written off Rs.1,500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Dr Bad Debt Expense 1,500 → Cr Student Receivables 1,500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Teacher earning recognized Rs.3,000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Dr Teacher Salary Expense 3,000 → Cr Teacher Payables 3,000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Teacher paid in cash Rs.3,000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Dr Teacher Payables 3,000 → Cr Cash in Hand 3,000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Teacher paid by bank Rs.50,000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Dr Teacher Payables 50,000 → Cr Bank Account 50,000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TDS deducted from teacher payment Rs.300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Dr Teacher Payables 300 → Cr TDS Payable 300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Rent paid Rs.15,000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Dr Rent Expense 15,000 → Cr Cash in Hand 15,000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Electricity bill paid Rs.3,500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Dr Utilities Expense 3,500 → Cr Cash in Hand 3,500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Bank charges Rs.100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Dr Other Expense 100 → Cr Bank Account 100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Bank interest received Rs.450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Dr Bank Account 450 → Cr Other Income 450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Monthly depreciation Rs.2,000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Dr Depreciation Expense 2,000 → Cr Accumulated Depreciation 2,000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VAT collected on fees Rs.260 (13% on Rs.2,000)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Dr Student Receivables 260 → Cr VAT Payable 260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VAT remitted to IRD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Dr VAT Payable XXXX → Cr Bank Account XXXX</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Owner capital introduced Rs.500,000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Dr Cash in Hand / Bank 500,000 → Cr Owner Capital 500,000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Year-end: Revenue closed to Retained Earnings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Dr All Revenue accounts → Cr Retained Earnings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Year-end: Expenses closed to Retained Earnings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111111"/>
                <w:sz w:val="19"/>
                <w:szCs w:val="19"/>
              </w:rPr>
              <w:t xml:space="preserve">Dr Retained Earnings → Cr All Expense accounts</w:t>
            </w:r>
          </w:p>
        </w:tc>
      </w:tr>
    </w:tbl>
    <w:p>
      <w:pPr>
        <w:spacing w:after="40" w:before="40"/>
      </w:pPr>
      <w:r>
        <w:t xml:space="preserve"/>
      </w:r>
    </w:p>
    <w:p>
      <w:pPr>
        <w:pBdr>
          <w:bottom w:val="single" w:color="2563A8" w:sz="6" w:space="1"/>
        </w:pBdr>
        <w:spacing w:after="100" w:before="100"/>
      </w:pPr>
      <w:r>
        <w:t xml:space="preserve"/>
      </w:r>
    </w:p>
    <w:p>
      <w:pPr>
        <w:spacing w:after="60" w:before="120"/>
        <w:jc w:val="center"/>
      </w:pPr>
      <w:r>
        <w:rPr>
          <w:rFonts w:ascii="Calibri" w:cs="Calibri" w:eastAsia="Calibri" w:hAnsi="Calibri"/>
          <w:b/>
          <w:bCs/>
          <w:color w:val="444444"/>
          <w:sz w:val="24"/>
          <w:szCs w:val="24"/>
        </w:rPr>
        <w:t xml:space="preserve">END OF STANDARD OPERATING PROCEDURES</w:t>
      </w:r>
    </w:p>
    <w:p>
      <w:pPr>
        <w:spacing w:after="40" w:before="40"/>
        <w:jc w:val="center"/>
      </w:pPr>
      <w:r>
        <w:rPr>
          <w:rFonts w:ascii="Calibri" w:cs="Calibri" w:eastAsia="Calibri" w:hAnsi="Calibri"/>
          <w:color w:val="444444"/>
          <w:sz w:val="20"/>
          <w:szCs w:val="20"/>
        </w:rPr>
        <w:t xml:space="preserve">TCMS ERP — School, College &amp; Coaching Institute Edition — v2.0</w:t>
      </w:r>
    </w:p>
    <w:p>
      <w:pPr>
        <w:spacing w:after="40" w:before="40"/>
        <w:jc w:val="center"/>
      </w:pPr>
      <w:r>
        <w:rPr>
          <w:rFonts w:ascii="Calibri" w:cs="Calibri" w:eastAsia="Calibri" w:hAnsi="Calibri"/>
          <w:color w:val="444444"/>
          <w:sz w:val="18"/>
          <w:szCs w:val="18"/>
        </w:rPr>
        <w:t xml:space="preserve">This document must be reviewed and re-approved at the start of every new academic year.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space="1"/>
      </w:pBdr>
      <w:tabs>
        <w:tab w:val="right" w:pos="9360"/>
      </w:tabs>
      <w:spacing w:after="0" w:before="80"/>
    </w:pPr>
    <w:r>
      <w:rPr>
        <w:rFonts w:ascii="Calibri" w:cs="Calibri" w:eastAsia="Calibri" w:hAnsi="Calibri"/>
        <w:color w:val="444444"/>
        <w:sz w:val="16"/>
        <w:szCs w:val="16"/>
      </w:rPr>
      <w:t xml:space="preserve">Confidential — Internal Use Only</w:t>
    </w:r>
    <w:r>
      <w:rPr>
        <w:rFonts w:ascii="Calibri" w:cs="Calibri" w:eastAsia="Calibri" w:hAnsi="Calibri"/>
        <w:color w:val="444444"/>
        <w:sz w:val="16"/>
        <w:szCs w:val="16"/>
      </w:rPr>
      <w:t xml:space="preserve">	Page </w:t>
    </w:r>
    <w:r>
      <w:rPr>
        <w:rFonts w:ascii="Calibri" w:cs="Calibri" w:eastAsia="Calibri" w:hAnsi="Calibri"/>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space="1"/>
      </w:pBdr>
      <w:spacing w:after="80" w:before="0"/>
    </w:pPr>
    <w:r>
      <w:rPr>
        <w:rFonts w:ascii="Calibri" w:cs="Calibri" w:eastAsia="Calibri" w:hAnsi="Calibri"/>
        <w:b/>
        <w:bCs/>
        <w:color w:val="2563A8"/>
        <w:sz w:val="18"/>
        <w:szCs w:val="18"/>
      </w:rPr>
      <w:t xml:space="preserve">TCMS ERP — Standard Operating Procedures</w:t>
    </w:r>
    <w:r>
      <w:rPr>
        <w:rFonts w:ascii="Calibri" w:cs="Calibri" w:eastAsia="Calibri" w:hAnsi="Calibri"/>
        <w:color w:val="444444"/>
        <w:sz w:val="18"/>
        <w:szCs w:val="18"/>
      </w:rPr>
      <w:t xml:space="preserve">    |    v2.0    |    School, College &amp; Coaching Institute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A3C5E"/>
      <w:sz w:val="40"/>
      <w:szCs w:val="40"/>
    </w:rPr>
  </w:style>
  <w:style w:type="paragraph" w:styleId="Heading2">
    <w:name w:val="Heading 2"/>
    <w:basedOn w:val="Normal"/>
    <w:next w:val="Normal"/>
    <w:qFormat/>
    <w:pPr>
      <w:spacing w:after="120" w:before="280"/>
      <w:outlineLvl w:val="1"/>
    </w:pPr>
    <w:rPr>
      <w:rFonts w:ascii="Calibri" w:cs="Calibri" w:eastAsia="Calibri" w:hAnsi="Calibri"/>
      <w:b/>
      <w:bCs/>
      <w:color w:val="2563A8"/>
      <w:sz w:val="30"/>
      <w:szCs w:val="30"/>
    </w:rPr>
  </w:style>
  <w:style w:type="paragraph" w:styleId="Heading3">
    <w:name w:val="Heading 3"/>
    <w:basedOn w:val="Normal"/>
    <w:next w:val="Normal"/>
    <w:qFormat/>
    <w:pPr>
      <w:spacing w:after="80" w:before="200"/>
      <w:outlineLvl w:val="2"/>
    </w:pPr>
    <w:rPr>
      <w:rFonts w:ascii="Calibri" w:cs="Calibri" w:eastAsia="Calibri" w:hAnsi="Calibri"/>
      <w:b/>
      <w:bCs/>
      <w:color w:val="1A3C5E"/>
      <w:sz w:val="24"/>
      <w:szCs w:val="24"/>
    </w:rPr>
  </w:style>
  <w:style w:type="paragraph" w:styleId="Heading4">
    <w:name w:val="Heading 4"/>
    <w:basedOn w:val="Normal"/>
    <w:next w:val="Normal"/>
    <w:qFormat/>
    <w:pPr>
      <w:spacing w:after="60" w:before="160"/>
      <w:outlineLvl w:val="3"/>
    </w:pPr>
    <w:rPr>
      <w:rFonts w:ascii="Calibri" w:cs="Calibri" w:eastAsia="Calibri" w:hAnsi="Calibri"/>
      <w:b/>
      <w:bCs/>
      <w:i/>
      <w:iCs/>
      <w:color w:val="0F51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2026-05-15T04:29:56.810Z</dcterms:created>
  <dcterms:modified xsi:type="dcterms:W3CDTF">2026-05-15T04:29:56.823Z</dcterms:modified>
</cp:coreProperties>
</file>

<file path=docProps/custom.xml><?xml version="1.0" encoding="utf-8"?>
<Properties xmlns="http://schemas.openxmlformats.org/officeDocument/2006/custom-properties" xmlns:vt="http://schemas.openxmlformats.org/officeDocument/2006/docPropsVTypes"/>
</file>