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CAP-001 — Enterprise Capability Registry</w:t>
      </w:r>
    </w:p>
    <w:p>
      <w:r>
        <w:t>Version: 1.0</w:t>
        <w:br/>
        <w:t>Status: Architecture Review Complete</w:t>
        <w:br/>
        <w:t>Classification: Canonical Reference Specification</w:t>
      </w:r>
    </w:p>
    <w:p>
      <w:pPr>
        <w:pStyle w:val="Heading2"/>
      </w:pPr>
      <w:r>
        <w:t>Architecture Review Summary</w:t>
      </w:r>
    </w:p>
    <w:p>
      <w:r>
        <w:t>Final review decisions applied: business-centric capability naming; domain-based identifier allocation; immutable capability identifiers; enterprise-oriented capability taxonomy; reserved identifier ranges; concise business intent; primary and related specification references; removal of technical-service terminology; addition of missing foundational enterprise capabilities.</w:t>
      </w:r>
    </w:p>
    <w:p>
      <w:pPr>
        <w:pStyle w:val="Heading2"/>
      </w:pPr>
      <w:r>
        <w:t>1. Canonical Capability Domains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Reserved IDs</w:t>
            </w:r>
          </w:p>
        </w:tc>
      </w:tr>
      <w:tr>
        <w:tc>
          <w:tcPr>
            <w:tcW w:type="dxa" w:w="2880"/>
          </w:tcPr>
          <w:p>
            <w:r>
              <w:t>D-001</w:t>
            </w:r>
          </w:p>
        </w:tc>
        <w:tc>
          <w:tcPr>
            <w:tcW w:type="dxa" w:w="2880"/>
          </w:tcPr>
          <w:p>
            <w:r>
              <w:t>Enterprise Foundation</w:t>
            </w:r>
          </w:p>
        </w:tc>
        <w:tc>
          <w:tcPr>
            <w:tcW w:type="dxa" w:w="2880"/>
          </w:tcPr>
          <w:p>
            <w:r>
              <w:t>C-001–C-019</w:t>
            </w:r>
          </w:p>
        </w:tc>
      </w:tr>
      <w:tr>
        <w:tc>
          <w:tcPr>
            <w:tcW w:type="dxa" w:w="2880"/>
          </w:tcPr>
          <w:p>
            <w:r>
              <w:t>D-002</w:t>
            </w:r>
          </w:p>
        </w:tc>
        <w:tc>
          <w:tcPr>
            <w:tcW w:type="dxa" w:w="2880"/>
          </w:tcPr>
          <w:p>
            <w:r>
              <w:t>Commercial &amp; Subscription</w:t>
            </w:r>
          </w:p>
        </w:tc>
        <w:tc>
          <w:tcPr>
            <w:tcW w:type="dxa" w:w="2880"/>
          </w:tcPr>
          <w:p>
            <w:r>
              <w:t>C-020–C-039</w:t>
            </w:r>
          </w:p>
        </w:tc>
      </w:tr>
      <w:tr>
        <w:tc>
          <w:tcPr>
            <w:tcW w:type="dxa" w:w="2880"/>
          </w:tcPr>
          <w:p>
            <w:r>
              <w:t>D-003</w:t>
            </w:r>
          </w:p>
        </w:tc>
        <w:tc>
          <w:tcPr>
            <w:tcW w:type="dxa" w:w="2880"/>
          </w:tcPr>
          <w:p>
            <w:r>
              <w:t>Enterprise Administration</w:t>
            </w:r>
          </w:p>
        </w:tc>
        <w:tc>
          <w:tcPr>
            <w:tcW w:type="dxa" w:w="2880"/>
          </w:tcPr>
          <w:p>
            <w:r>
              <w:t>C-040–C-059</w:t>
            </w:r>
          </w:p>
        </w:tc>
      </w:tr>
      <w:tr>
        <w:tc>
          <w:tcPr>
            <w:tcW w:type="dxa" w:w="2880"/>
          </w:tcPr>
          <w:p>
            <w:r>
              <w:t>D-004</w:t>
            </w:r>
          </w:p>
        </w:tc>
        <w:tc>
          <w:tcPr>
            <w:tcW w:type="dxa" w:w="2880"/>
          </w:tcPr>
          <w:p>
            <w:r>
              <w:t>Enterprise Operations</w:t>
            </w:r>
          </w:p>
        </w:tc>
        <w:tc>
          <w:tcPr>
            <w:tcW w:type="dxa" w:w="2880"/>
          </w:tcPr>
          <w:p>
            <w:r>
              <w:t>C-060–C-089</w:t>
            </w:r>
          </w:p>
        </w:tc>
      </w:tr>
      <w:tr>
        <w:tc>
          <w:tcPr>
            <w:tcW w:type="dxa" w:w="2880"/>
          </w:tcPr>
          <w:p>
            <w:r>
              <w:t>D-005</w:t>
            </w:r>
          </w:p>
        </w:tc>
        <w:tc>
          <w:tcPr>
            <w:tcW w:type="dxa" w:w="2880"/>
          </w:tcPr>
          <w:p>
            <w:r>
              <w:t>Enterprise Intelligence</w:t>
            </w:r>
          </w:p>
        </w:tc>
        <w:tc>
          <w:tcPr>
            <w:tcW w:type="dxa" w:w="2880"/>
          </w:tcPr>
          <w:p>
            <w:r>
              <w:t>C-090–C-109</w:t>
            </w:r>
          </w:p>
        </w:tc>
      </w:tr>
      <w:tr>
        <w:tc>
          <w:tcPr>
            <w:tcW w:type="dxa" w:w="2880"/>
          </w:tcPr>
          <w:p>
            <w:r>
              <w:t>D-006</w:t>
            </w:r>
          </w:p>
        </w:tc>
        <w:tc>
          <w:tcPr>
            <w:tcW w:type="dxa" w:w="2880"/>
          </w:tcPr>
          <w:p>
            <w:r>
              <w:t>Governance, Risk &amp; Compliance</w:t>
            </w:r>
          </w:p>
        </w:tc>
        <w:tc>
          <w:tcPr>
            <w:tcW w:type="dxa" w:w="2880"/>
          </w:tcPr>
          <w:p>
            <w:r>
              <w:t>C-110–C-129</w:t>
            </w:r>
          </w:p>
        </w:tc>
      </w:tr>
      <w:tr>
        <w:tc>
          <w:tcPr>
            <w:tcW w:type="dxa" w:w="2880"/>
          </w:tcPr>
          <w:p>
            <w:r>
              <w:t>D-007</w:t>
            </w:r>
          </w:p>
        </w:tc>
        <w:tc>
          <w:tcPr>
            <w:tcW w:type="dxa" w:w="2880"/>
          </w:tcPr>
          <w:p>
            <w:r>
              <w:t>Collaboration &amp; Engagement</w:t>
            </w:r>
          </w:p>
        </w:tc>
        <w:tc>
          <w:tcPr>
            <w:tcW w:type="dxa" w:w="2880"/>
          </w:tcPr>
          <w:p>
            <w:r>
              <w:t>C-130–C-149</w:t>
            </w:r>
          </w:p>
        </w:tc>
      </w:tr>
      <w:tr>
        <w:tc>
          <w:tcPr>
            <w:tcW w:type="dxa" w:w="2880"/>
          </w:tcPr>
          <w:p>
            <w:r>
              <w:t>D-008</w:t>
            </w:r>
          </w:p>
        </w:tc>
        <w:tc>
          <w:tcPr>
            <w:tcW w:type="dxa" w:w="2880"/>
          </w:tcPr>
          <w:p>
            <w:r>
              <w:t>Enterprise Platform</w:t>
            </w:r>
          </w:p>
        </w:tc>
        <w:tc>
          <w:tcPr>
            <w:tcW w:type="dxa" w:w="2880"/>
          </w:tcPr>
          <w:p>
            <w:r>
              <w:t>C-150–C-169</w:t>
            </w:r>
          </w:p>
        </w:tc>
      </w:tr>
    </w:tbl>
    <w:p>
      <w:pPr>
        <w:pStyle w:val="Heading2"/>
      </w:pPr>
      <w:r>
        <w:t>2. Canonical Enterprise Capability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Capability</w:t>
            </w:r>
          </w:p>
        </w:tc>
        <w:tc>
          <w:tcPr>
            <w:tcW w:type="dxa" w:w="1728"/>
          </w:tcPr>
          <w:p>
            <w:r>
              <w:t>Business Intent</w:t>
            </w:r>
          </w:p>
        </w:tc>
        <w:tc>
          <w:tcPr>
            <w:tcW w:type="dxa" w:w="1728"/>
          </w:tcPr>
          <w:p>
            <w:r>
              <w:t>Primary Specification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C-001</w:t>
            </w:r>
          </w:p>
        </w:tc>
        <w:tc>
          <w:tcPr>
            <w:tcW w:type="dxa" w:w="1728"/>
          </w:tcPr>
          <w:p>
            <w:r>
              <w:t>Identity Management</w:t>
            </w:r>
          </w:p>
        </w:tc>
        <w:tc>
          <w:tcPr>
            <w:tcW w:type="dxa" w:w="1728"/>
          </w:tcPr>
          <w:p>
            <w:r>
              <w:t>Manage enterprise identities.</w:t>
            </w:r>
          </w:p>
        </w:tc>
        <w:tc>
          <w:tcPr>
            <w:tcW w:type="dxa" w:w="1728"/>
          </w:tcPr>
          <w:p>
            <w:r>
              <w:t>URA-001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C-002</w:t>
            </w:r>
          </w:p>
        </w:tc>
        <w:tc>
          <w:tcPr>
            <w:tcW w:type="dxa" w:w="1728"/>
          </w:tcPr>
          <w:p>
            <w:r>
              <w:t>Access Management</w:t>
            </w:r>
          </w:p>
        </w:tc>
        <w:tc>
          <w:tcPr>
            <w:tcW w:type="dxa" w:w="1728"/>
          </w:tcPr>
          <w:p>
            <w:r>
              <w:t>Govern access rights.</w:t>
            </w:r>
          </w:p>
        </w:tc>
        <w:tc>
          <w:tcPr>
            <w:tcW w:type="dxa" w:w="1728"/>
          </w:tcPr>
          <w:p>
            <w:r>
              <w:t>URA-001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C-003</w:t>
            </w:r>
          </w:p>
        </w:tc>
        <w:tc>
          <w:tcPr>
            <w:tcW w:type="dxa" w:w="1728"/>
          </w:tcPr>
          <w:p>
            <w:r>
              <w:t>Role &amp; Permission Management</w:t>
            </w:r>
          </w:p>
        </w:tc>
        <w:tc>
          <w:tcPr>
            <w:tcW w:type="dxa" w:w="1728"/>
          </w:tcPr>
          <w:p>
            <w:r>
              <w:t>Manage authorization roles and permissions.</w:t>
            </w:r>
          </w:p>
        </w:tc>
        <w:tc>
          <w:tcPr>
            <w:tcW w:type="dxa" w:w="1728"/>
          </w:tcPr>
          <w:p>
            <w:r>
              <w:t>URA-001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C-004</w:t>
            </w:r>
          </w:p>
        </w:tc>
        <w:tc>
          <w:tcPr>
            <w:tcW w:type="dxa" w:w="1728"/>
          </w:tcPr>
          <w:p>
            <w:r>
              <w:t>Organization Management</w:t>
            </w:r>
          </w:p>
        </w:tc>
        <w:tc>
          <w:tcPr>
            <w:tcW w:type="dxa" w:w="1728"/>
          </w:tcPr>
          <w:p>
            <w:r>
              <w:t>Manage enterprise organizations.</w:t>
            </w:r>
          </w:p>
        </w:tc>
        <w:tc>
          <w:tcPr>
            <w:tcW w:type="dxa" w:w="1728"/>
          </w:tcPr>
          <w:p>
            <w:r>
              <w:t>ERG-001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C-005</w:t>
            </w:r>
          </w:p>
        </w:tc>
        <w:tc>
          <w:tcPr>
            <w:tcW w:type="dxa" w:w="1728"/>
          </w:tcPr>
          <w:p>
            <w:r>
              <w:t>Enterprise Structure Management</w:t>
            </w:r>
          </w:p>
        </w:tc>
        <w:tc>
          <w:tcPr>
            <w:tcW w:type="dxa" w:w="1728"/>
          </w:tcPr>
          <w:p>
            <w:r>
              <w:t>Maintain enterprise structure.</w:t>
            </w:r>
          </w:p>
        </w:tc>
        <w:tc>
          <w:tcPr>
            <w:tcW w:type="dxa" w:w="1728"/>
          </w:tcPr>
          <w:p>
            <w:r>
              <w:t>ERG-001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C-006</w:t>
            </w:r>
          </w:p>
        </w:tc>
        <w:tc>
          <w:tcPr>
            <w:tcW w:type="dxa" w:w="1728"/>
          </w:tcPr>
          <w:p>
            <w:r>
              <w:t>Person Management</w:t>
            </w:r>
          </w:p>
        </w:tc>
        <w:tc>
          <w:tcPr>
            <w:tcW w:type="dxa" w:w="1728"/>
          </w:tcPr>
          <w:p>
            <w:r>
              <w:t>Manage enterprise persons.</w:t>
            </w:r>
          </w:p>
        </w:tc>
        <w:tc>
          <w:tcPr>
            <w:tcW w:type="dxa" w:w="1728"/>
          </w:tcPr>
          <w:p>
            <w:r>
              <w:t>URA-001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C-007</w:t>
            </w:r>
          </w:p>
        </w:tc>
        <w:tc>
          <w:tcPr>
            <w:tcW w:type="dxa" w:w="1728"/>
          </w:tcPr>
          <w:p>
            <w:r>
              <w:t>Membership Management</w:t>
            </w:r>
          </w:p>
        </w:tc>
        <w:tc>
          <w:tcPr>
            <w:tcW w:type="dxa" w:w="1728"/>
          </w:tcPr>
          <w:p>
            <w:r>
              <w:t>Manage enterprise memberships.</w:t>
            </w:r>
          </w:p>
        </w:tc>
        <w:tc>
          <w:tcPr>
            <w:tcW w:type="dxa" w:w="1728"/>
          </w:tcPr>
          <w:p>
            <w:r>
              <w:t>URA-001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C-008</w:t>
            </w:r>
          </w:p>
        </w:tc>
        <w:tc>
          <w:tcPr>
            <w:tcW w:type="dxa" w:w="1728"/>
          </w:tcPr>
          <w:p>
            <w:r>
              <w:t>Workspace Management</w:t>
            </w:r>
          </w:p>
        </w:tc>
        <w:tc>
          <w:tcPr>
            <w:tcW w:type="dxa" w:w="1728"/>
          </w:tcPr>
          <w:p>
            <w:r>
              <w:t>Provide contextual workspaces.</w:t>
            </w:r>
          </w:p>
        </w:tc>
        <w:tc>
          <w:tcPr>
            <w:tcW w:type="dxa" w:w="1728"/>
          </w:tcPr>
          <w:p>
            <w:r>
              <w:t>PE-001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C-020</w:t>
            </w:r>
          </w:p>
        </w:tc>
        <w:tc>
          <w:tcPr>
            <w:tcW w:type="dxa" w:w="1728"/>
          </w:tcPr>
          <w:p>
            <w:r>
              <w:t>Subscription Management</w:t>
            </w:r>
          </w:p>
        </w:tc>
        <w:tc>
          <w:tcPr>
            <w:tcW w:type="dxa" w:w="1728"/>
          </w:tcPr>
          <w:p>
            <w:r>
              <w:t>Manage subscriptions.</w:t>
            </w:r>
          </w:p>
        </w:tc>
        <w:tc>
          <w:tcPr>
            <w:tcW w:type="dxa" w:w="1728"/>
          </w:tcPr>
          <w:p>
            <w:r>
              <w:t>SD-001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C-021</w:t>
            </w:r>
          </w:p>
        </w:tc>
        <w:tc>
          <w:tcPr>
            <w:tcW w:type="dxa" w:w="1728"/>
          </w:tcPr>
          <w:p>
            <w:r>
              <w:t>Product &amp; Service Catalog</w:t>
            </w:r>
          </w:p>
        </w:tc>
        <w:tc>
          <w:tcPr>
            <w:tcW w:type="dxa" w:w="1728"/>
          </w:tcPr>
          <w:p>
            <w:r>
              <w:t>Manage offerings.</w:t>
            </w:r>
          </w:p>
        </w:tc>
        <w:tc>
          <w:tcPr>
            <w:tcW w:type="dxa" w:w="1728"/>
          </w:tcPr>
          <w:p>
            <w:r>
              <w:t>SD-001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C-022</w:t>
            </w:r>
          </w:p>
        </w:tc>
        <w:tc>
          <w:tcPr>
            <w:tcW w:type="dxa" w:w="1728"/>
          </w:tcPr>
          <w:p>
            <w:r>
              <w:t>Customer &amp; Account Management</w:t>
            </w:r>
          </w:p>
        </w:tc>
        <w:tc>
          <w:tcPr>
            <w:tcW w:type="dxa" w:w="1728"/>
          </w:tcPr>
          <w:p>
            <w:r>
              <w:t>Manage customer relationships.</w:t>
            </w:r>
          </w:p>
        </w:tc>
        <w:tc>
          <w:tcPr>
            <w:tcW w:type="dxa" w:w="1728"/>
          </w:tcPr>
          <w:p>
            <w:r>
              <w:t>SD-001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C-023</w:t>
            </w:r>
          </w:p>
        </w:tc>
        <w:tc>
          <w:tcPr>
            <w:tcW w:type="dxa" w:w="1728"/>
          </w:tcPr>
          <w:p>
            <w:r>
              <w:t>Licensing &amp; Entitlement</w:t>
            </w:r>
          </w:p>
        </w:tc>
        <w:tc>
          <w:tcPr>
            <w:tcW w:type="dxa" w:w="1728"/>
          </w:tcPr>
          <w:p>
            <w:r>
              <w:t>Manage entitlements.</w:t>
            </w:r>
          </w:p>
        </w:tc>
        <w:tc>
          <w:tcPr>
            <w:tcW w:type="dxa" w:w="1728"/>
          </w:tcPr>
          <w:p>
            <w:r>
              <w:t>URA-001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C-024</w:t>
            </w:r>
          </w:p>
        </w:tc>
        <w:tc>
          <w:tcPr>
            <w:tcW w:type="dxa" w:w="1728"/>
          </w:tcPr>
          <w:p>
            <w:r>
              <w:t>Billing Management</w:t>
            </w:r>
          </w:p>
        </w:tc>
        <w:tc>
          <w:tcPr>
            <w:tcW w:type="dxa" w:w="1728"/>
          </w:tcPr>
          <w:p>
            <w:r>
              <w:t>Manage billing.</w:t>
            </w:r>
          </w:p>
        </w:tc>
        <w:tc>
          <w:tcPr>
            <w:tcW w:type="dxa" w:w="1728"/>
          </w:tcPr>
          <w:p>
            <w:r>
              <w:t>SD-001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C-025</w:t>
            </w:r>
          </w:p>
        </w:tc>
        <w:tc>
          <w:tcPr>
            <w:tcW w:type="dxa" w:w="1728"/>
          </w:tcPr>
          <w:p>
            <w:r>
              <w:t>Contract Management</w:t>
            </w:r>
          </w:p>
        </w:tc>
        <w:tc>
          <w:tcPr>
            <w:tcW w:type="dxa" w:w="1728"/>
          </w:tcPr>
          <w:p>
            <w:r>
              <w:t>Manage commercial contracts.</w:t>
            </w:r>
          </w:p>
        </w:tc>
        <w:tc>
          <w:tcPr>
            <w:tcW w:type="dxa" w:w="1728"/>
          </w:tcPr>
          <w:p>
            <w:r>
              <w:t>SD-001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C-040</w:t>
            </w:r>
          </w:p>
        </w:tc>
        <w:tc>
          <w:tcPr>
            <w:tcW w:type="dxa" w:w="1728"/>
          </w:tcPr>
          <w:p>
            <w:r>
              <w:t>Tenant Administration</w:t>
            </w:r>
          </w:p>
        </w:tc>
        <w:tc>
          <w:tcPr>
            <w:tcW w:type="dxa" w:w="1728"/>
          </w:tcPr>
          <w:p>
            <w:r>
              <w:t>Administer tenants.</w:t>
            </w:r>
          </w:p>
        </w:tc>
        <w:tc>
          <w:tcPr>
            <w:tcW w:type="dxa" w:w="1728"/>
          </w:tcPr>
          <w:p>
            <w:r>
              <w:t>SD-001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C-041</w:t>
            </w:r>
          </w:p>
        </w:tc>
        <w:tc>
          <w:tcPr>
            <w:tcW w:type="dxa" w:w="1728"/>
          </w:tcPr>
          <w:p>
            <w:r>
              <w:t>Configuration Management</w:t>
            </w:r>
          </w:p>
        </w:tc>
        <w:tc>
          <w:tcPr>
            <w:tcW w:type="dxa" w:w="1728"/>
          </w:tcPr>
          <w:p>
            <w:r>
              <w:t>Manage enterprise configuration.</w:t>
            </w:r>
          </w:p>
        </w:tc>
        <w:tc>
          <w:tcPr>
            <w:tcW w:type="dxa" w:w="1728"/>
          </w:tcPr>
          <w:p>
            <w:r>
              <w:t>SD-001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C-042</w:t>
            </w:r>
          </w:p>
        </w:tc>
        <w:tc>
          <w:tcPr>
            <w:tcW w:type="dxa" w:w="1728"/>
          </w:tcPr>
          <w:p>
            <w:r>
              <w:t>Preference &amp; Personalization</w:t>
            </w:r>
          </w:p>
        </w:tc>
        <w:tc>
          <w:tcPr>
            <w:tcW w:type="dxa" w:w="1728"/>
          </w:tcPr>
          <w:p>
            <w:r>
              <w:t>Manage enterprise preferences.</w:t>
            </w:r>
          </w:p>
        </w:tc>
        <w:tc>
          <w:tcPr>
            <w:tcW w:type="dxa" w:w="1728"/>
          </w:tcPr>
          <w:p>
            <w:r>
              <w:t>PE-001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C-060</w:t>
            </w:r>
          </w:p>
        </w:tc>
        <w:tc>
          <w:tcPr>
            <w:tcW w:type="dxa" w:w="1728"/>
          </w:tcPr>
          <w:p>
            <w:r>
              <w:t>Business Workflow Management</w:t>
            </w:r>
          </w:p>
        </w:tc>
        <w:tc>
          <w:tcPr>
            <w:tcW w:type="dxa" w:w="1728"/>
          </w:tcPr>
          <w:p>
            <w:r>
              <w:t>Coordinate business workflows.</w:t>
            </w:r>
          </w:p>
        </w:tc>
        <w:tc>
          <w:tcPr>
            <w:tcW w:type="dxa" w:w="1728"/>
          </w:tcPr>
          <w:p>
            <w:r>
              <w:t>IMP-001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C-061</w:t>
            </w:r>
          </w:p>
        </w:tc>
        <w:tc>
          <w:tcPr>
            <w:tcW w:type="dxa" w:w="1728"/>
          </w:tcPr>
          <w:p>
            <w:r>
              <w:t>Work Management</w:t>
            </w:r>
          </w:p>
        </w:tc>
        <w:tc>
          <w:tcPr>
            <w:tcW w:type="dxa" w:w="1728"/>
          </w:tcPr>
          <w:p>
            <w:r>
              <w:t>Manage enterprise work.</w:t>
            </w:r>
          </w:p>
        </w:tc>
        <w:tc>
          <w:tcPr>
            <w:tcW w:type="dxa" w:w="1728"/>
          </w:tcPr>
          <w:p>
            <w:r>
              <w:t>IMP-001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C-062</w:t>
            </w:r>
          </w:p>
        </w:tc>
        <w:tc>
          <w:tcPr>
            <w:tcW w:type="dxa" w:w="1728"/>
          </w:tcPr>
          <w:p>
            <w:r>
              <w:t>Case Management</w:t>
            </w:r>
          </w:p>
        </w:tc>
        <w:tc>
          <w:tcPr>
            <w:tcW w:type="dxa" w:w="1728"/>
          </w:tcPr>
          <w:p>
            <w:r>
              <w:t>Manage business cases.</w:t>
            </w:r>
          </w:p>
        </w:tc>
        <w:tc>
          <w:tcPr>
            <w:tcW w:type="dxa" w:w="1728"/>
          </w:tcPr>
          <w:p>
            <w:r>
              <w:t>IMP-001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C-063</w:t>
            </w:r>
          </w:p>
        </w:tc>
        <w:tc>
          <w:tcPr>
            <w:tcW w:type="dxa" w:w="1728"/>
          </w:tcPr>
          <w:p>
            <w:r>
              <w:t>Approval Management</w:t>
            </w:r>
          </w:p>
        </w:tc>
        <w:tc>
          <w:tcPr>
            <w:tcW w:type="dxa" w:w="1728"/>
          </w:tcPr>
          <w:p>
            <w:r>
              <w:t>Govern approvals.</w:t>
            </w:r>
          </w:p>
        </w:tc>
        <w:tc>
          <w:tcPr>
            <w:tcW w:type="dxa" w:w="1728"/>
          </w:tcPr>
          <w:p>
            <w:r>
              <w:t>IMP-001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C-064</w:t>
            </w:r>
          </w:p>
        </w:tc>
        <w:tc>
          <w:tcPr>
            <w:tcW w:type="dxa" w:w="1728"/>
          </w:tcPr>
          <w:p>
            <w:r>
              <w:t>Review Management</w:t>
            </w:r>
          </w:p>
        </w:tc>
        <w:tc>
          <w:tcPr>
            <w:tcW w:type="dxa" w:w="1728"/>
          </w:tcPr>
          <w:p>
            <w:r>
              <w:t>Coordinate reviews.</w:t>
            </w:r>
          </w:p>
        </w:tc>
        <w:tc>
          <w:tcPr>
            <w:tcW w:type="dxa" w:w="1728"/>
          </w:tcPr>
          <w:p>
            <w:r>
              <w:t>IMP-001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C-065</w:t>
            </w:r>
          </w:p>
        </w:tc>
        <w:tc>
          <w:tcPr>
            <w:tcW w:type="dxa" w:w="1728"/>
          </w:tcPr>
          <w:p>
            <w:r>
              <w:t>Decision Management</w:t>
            </w:r>
          </w:p>
        </w:tc>
        <w:tc>
          <w:tcPr>
            <w:tcW w:type="dxa" w:w="1728"/>
          </w:tcPr>
          <w:p>
            <w:r>
              <w:t>Support business decisions.</w:t>
            </w:r>
          </w:p>
        </w:tc>
        <w:tc>
          <w:tcPr>
            <w:tcW w:type="dxa" w:w="1728"/>
          </w:tcPr>
          <w:p>
            <w:r>
              <w:t>IMP-001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C-066</w:t>
            </w:r>
          </w:p>
        </w:tc>
        <w:tc>
          <w:tcPr>
            <w:tcW w:type="dxa" w:w="1728"/>
          </w:tcPr>
          <w:p>
            <w:r>
              <w:t>Evidence Management</w:t>
            </w:r>
          </w:p>
        </w:tc>
        <w:tc>
          <w:tcPr>
            <w:tcW w:type="dxa" w:w="1728"/>
          </w:tcPr>
          <w:p>
            <w:r>
              <w:t>Manage enterprise evidence.</w:t>
            </w:r>
          </w:p>
        </w:tc>
        <w:tc>
          <w:tcPr>
            <w:tcW w:type="dxa" w:w="1728"/>
          </w:tcPr>
          <w:p>
            <w:r>
              <w:t>IMP-001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C-067</w:t>
            </w:r>
          </w:p>
        </w:tc>
        <w:tc>
          <w:tcPr>
            <w:tcW w:type="dxa" w:w="1728"/>
          </w:tcPr>
          <w:p>
            <w:r>
              <w:t>Enterprise Content Management</w:t>
            </w:r>
          </w:p>
        </w:tc>
        <w:tc>
          <w:tcPr>
            <w:tcW w:type="dxa" w:w="1728"/>
          </w:tcPr>
          <w:p>
            <w:r>
              <w:t>Manage enterprise content.</w:t>
            </w:r>
          </w:p>
        </w:tc>
        <w:tc>
          <w:tcPr>
            <w:tcW w:type="dxa" w:w="1728"/>
          </w:tcPr>
          <w:p>
            <w:r>
              <w:t>SD-001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C-090</w:t>
            </w:r>
          </w:p>
        </w:tc>
        <w:tc>
          <w:tcPr>
            <w:tcW w:type="dxa" w:w="1728"/>
          </w:tcPr>
          <w:p>
            <w:r>
              <w:t>Enterprise Discovery</w:t>
            </w:r>
          </w:p>
        </w:tc>
        <w:tc>
          <w:tcPr>
            <w:tcW w:type="dxa" w:w="1728"/>
          </w:tcPr>
          <w:p>
            <w:r>
              <w:t>Understand enterprise context.</w:t>
            </w:r>
          </w:p>
        </w:tc>
        <w:tc>
          <w:tcPr>
            <w:tcW w:type="dxa" w:w="1728"/>
          </w:tcPr>
          <w:p>
            <w:r>
              <w:t>EIA-001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C-091</w:t>
            </w:r>
          </w:p>
        </w:tc>
        <w:tc>
          <w:tcPr>
            <w:tcW w:type="dxa" w:w="1728"/>
          </w:tcPr>
          <w:p>
            <w:r>
              <w:t>Knowledge Management</w:t>
            </w:r>
          </w:p>
        </w:tc>
        <w:tc>
          <w:tcPr>
            <w:tcW w:type="dxa" w:w="1728"/>
          </w:tcPr>
          <w:p>
            <w:r>
              <w:t>Curate enterprise knowledge.</w:t>
            </w:r>
          </w:p>
        </w:tc>
        <w:tc>
          <w:tcPr>
            <w:tcW w:type="dxa" w:w="1728"/>
          </w:tcPr>
          <w:p>
            <w:r>
              <w:t>EIA-001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C-092</w:t>
            </w:r>
          </w:p>
        </w:tc>
        <w:tc>
          <w:tcPr>
            <w:tcW w:type="dxa" w:w="1728"/>
          </w:tcPr>
          <w:p>
            <w:r>
              <w:t>Knowledge Graph Management</w:t>
            </w:r>
          </w:p>
        </w:tc>
        <w:tc>
          <w:tcPr>
            <w:tcW w:type="dxa" w:w="1728"/>
          </w:tcPr>
          <w:p>
            <w:r>
              <w:t>Maintain semantic relationships.</w:t>
            </w:r>
          </w:p>
        </w:tc>
        <w:tc>
          <w:tcPr>
            <w:tcW w:type="dxa" w:w="1728"/>
          </w:tcPr>
          <w:p>
            <w:r>
              <w:t>EIA-001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C-093</w:t>
            </w:r>
          </w:p>
        </w:tc>
        <w:tc>
          <w:tcPr>
            <w:tcW w:type="dxa" w:w="1728"/>
          </w:tcPr>
          <w:p>
            <w:r>
              <w:t>Enterprise Search</w:t>
            </w:r>
          </w:p>
        </w:tc>
        <w:tc>
          <w:tcPr>
            <w:tcW w:type="dxa" w:w="1728"/>
          </w:tcPr>
          <w:p>
            <w:r>
              <w:t>Discover enterprise information.</w:t>
            </w:r>
          </w:p>
        </w:tc>
        <w:tc>
          <w:tcPr>
            <w:tcW w:type="dxa" w:w="1728"/>
          </w:tcPr>
          <w:p>
            <w:r>
              <w:t>EIA-001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C-094</w:t>
            </w:r>
          </w:p>
        </w:tc>
        <w:tc>
          <w:tcPr>
            <w:tcW w:type="dxa" w:w="1728"/>
          </w:tcPr>
          <w:p>
            <w:r>
              <w:t>AI Conversation Management</w:t>
            </w:r>
          </w:p>
        </w:tc>
        <w:tc>
          <w:tcPr>
            <w:tcW w:type="dxa" w:w="1728"/>
          </w:tcPr>
          <w:p>
            <w:r>
              <w:t>Manage AI interactions.</w:t>
            </w:r>
          </w:p>
        </w:tc>
        <w:tc>
          <w:tcPr>
            <w:tcW w:type="dxa" w:w="1728"/>
          </w:tcPr>
          <w:p>
            <w:r>
              <w:t>EIA-001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C-095</w:t>
            </w:r>
          </w:p>
        </w:tc>
        <w:tc>
          <w:tcPr>
            <w:tcW w:type="dxa" w:w="1728"/>
          </w:tcPr>
          <w:p>
            <w:r>
              <w:t>Enterprise Memory</w:t>
            </w:r>
          </w:p>
        </w:tc>
        <w:tc>
          <w:tcPr>
            <w:tcW w:type="dxa" w:w="1728"/>
          </w:tcPr>
          <w:p>
            <w:r>
              <w:t>Maintain enterprise memory.</w:t>
            </w:r>
          </w:p>
        </w:tc>
        <w:tc>
          <w:tcPr>
            <w:tcW w:type="dxa" w:w="1728"/>
          </w:tcPr>
          <w:p>
            <w:r>
              <w:t>EIA-001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C-110</w:t>
            </w:r>
          </w:p>
        </w:tc>
        <w:tc>
          <w:tcPr>
            <w:tcW w:type="dxa" w:w="1728"/>
          </w:tcPr>
          <w:p>
            <w:r>
              <w:t>KPI Management</w:t>
            </w:r>
          </w:p>
        </w:tc>
        <w:tc>
          <w:tcPr>
            <w:tcW w:type="dxa" w:w="1728"/>
          </w:tcPr>
          <w:p>
            <w:r>
              <w:t>Manage enterprise KPIs.</w:t>
            </w:r>
          </w:p>
        </w:tc>
        <w:tc>
          <w:tcPr>
            <w:tcW w:type="dxa" w:w="1728"/>
          </w:tcPr>
          <w:p>
            <w:r>
              <w:t>SD-001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C-111</w:t>
            </w:r>
          </w:p>
        </w:tc>
        <w:tc>
          <w:tcPr>
            <w:tcW w:type="dxa" w:w="1728"/>
          </w:tcPr>
          <w:p>
            <w:r>
              <w:t>Risk Management</w:t>
            </w:r>
          </w:p>
        </w:tc>
        <w:tc>
          <w:tcPr>
            <w:tcW w:type="dxa" w:w="1728"/>
          </w:tcPr>
          <w:p>
            <w:r>
              <w:t>Manage enterprise risks.</w:t>
            </w:r>
          </w:p>
        </w:tc>
        <w:tc>
          <w:tcPr>
            <w:tcW w:type="dxa" w:w="1728"/>
          </w:tcPr>
          <w:p>
            <w:r>
              <w:t>SD-001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C-112</w:t>
            </w:r>
          </w:p>
        </w:tc>
        <w:tc>
          <w:tcPr>
            <w:tcW w:type="dxa" w:w="1728"/>
          </w:tcPr>
          <w:p>
            <w:r>
              <w:t>Compliance Management</w:t>
            </w:r>
          </w:p>
        </w:tc>
        <w:tc>
          <w:tcPr>
            <w:tcW w:type="dxa" w:w="1728"/>
          </w:tcPr>
          <w:p>
            <w:r>
              <w:t>Manage compliance.</w:t>
            </w:r>
          </w:p>
        </w:tc>
        <w:tc>
          <w:tcPr>
            <w:tcW w:type="dxa" w:w="1728"/>
          </w:tcPr>
          <w:p>
            <w:r>
              <w:t>SD-001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C-113</w:t>
            </w:r>
          </w:p>
        </w:tc>
        <w:tc>
          <w:tcPr>
            <w:tcW w:type="dxa" w:w="1728"/>
          </w:tcPr>
          <w:p>
            <w:r>
              <w:t>Policy Management</w:t>
            </w:r>
          </w:p>
        </w:tc>
        <w:tc>
          <w:tcPr>
            <w:tcW w:type="dxa" w:w="1728"/>
          </w:tcPr>
          <w:p>
            <w:r>
              <w:t>Govern enterprise policies.</w:t>
            </w:r>
          </w:p>
        </w:tc>
        <w:tc>
          <w:tcPr>
            <w:tcW w:type="dxa" w:w="1728"/>
          </w:tcPr>
          <w:p>
            <w:r>
              <w:t>SD-001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C-114</w:t>
            </w:r>
          </w:p>
        </w:tc>
        <w:tc>
          <w:tcPr>
            <w:tcW w:type="dxa" w:w="1728"/>
          </w:tcPr>
          <w:p>
            <w:r>
              <w:t>Audit &amp; Assurance</w:t>
            </w:r>
          </w:p>
        </w:tc>
        <w:tc>
          <w:tcPr>
            <w:tcW w:type="dxa" w:w="1728"/>
          </w:tcPr>
          <w:p>
            <w:r>
              <w:t>Manage audits and assurance.</w:t>
            </w:r>
          </w:p>
        </w:tc>
        <w:tc>
          <w:tcPr>
            <w:tcW w:type="dxa" w:w="1728"/>
          </w:tcPr>
          <w:p>
            <w:r>
              <w:t>SD-001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C-115</w:t>
            </w:r>
          </w:p>
        </w:tc>
        <w:tc>
          <w:tcPr>
            <w:tcW w:type="dxa" w:w="1728"/>
          </w:tcPr>
          <w:p>
            <w:r>
              <w:t>Reporting &amp; Disclosure</w:t>
            </w:r>
          </w:p>
        </w:tc>
        <w:tc>
          <w:tcPr>
            <w:tcW w:type="dxa" w:w="1728"/>
          </w:tcPr>
          <w:p>
            <w:r>
              <w:t>Publish enterprise reporting.</w:t>
            </w:r>
          </w:p>
        </w:tc>
        <w:tc>
          <w:tcPr>
            <w:tcW w:type="dxa" w:w="1728"/>
          </w:tcPr>
          <w:p>
            <w:r>
              <w:t>SD-001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C-130</w:t>
            </w:r>
          </w:p>
        </w:tc>
        <w:tc>
          <w:tcPr>
            <w:tcW w:type="dxa" w:w="1728"/>
          </w:tcPr>
          <w:p>
            <w:r>
              <w:t>Enterprise Collaboration</w:t>
            </w:r>
          </w:p>
        </w:tc>
        <w:tc>
          <w:tcPr>
            <w:tcW w:type="dxa" w:w="1728"/>
          </w:tcPr>
          <w:p>
            <w:r>
              <w:t>Enable collaboration.</w:t>
            </w:r>
          </w:p>
        </w:tc>
        <w:tc>
          <w:tcPr>
            <w:tcW w:type="dxa" w:w="1728"/>
          </w:tcPr>
          <w:p>
            <w:r>
              <w:t>PE-001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C-131</w:t>
            </w:r>
          </w:p>
        </w:tc>
        <w:tc>
          <w:tcPr>
            <w:tcW w:type="dxa" w:w="1728"/>
          </w:tcPr>
          <w:p>
            <w:r>
              <w:t>Enterprise Communication</w:t>
            </w:r>
          </w:p>
        </w:tc>
        <w:tc>
          <w:tcPr>
            <w:tcW w:type="dxa" w:w="1728"/>
          </w:tcPr>
          <w:p>
            <w:r>
              <w:t>Enable communication.</w:t>
            </w:r>
          </w:p>
        </w:tc>
        <w:tc>
          <w:tcPr>
            <w:tcW w:type="dxa" w:w="1728"/>
          </w:tcPr>
          <w:p>
            <w:r>
              <w:t>PE-001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C-132</w:t>
            </w:r>
          </w:p>
        </w:tc>
        <w:tc>
          <w:tcPr>
            <w:tcW w:type="dxa" w:w="1728"/>
          </w:tcPr>
          <w:p>
            <w:r>
              <w:t>Enterprise Notifications</w:t>
            </w:r>
          </w:p>
        </w:tc>
        <w:tc>
          <w:tcPr>
            <w:tcW w:type="dxa" w:w="1728"/>
          </w:tcPr>
          <w:p>
            <w:r>
              <w:t>Deliver notifications.</w:t>
            </w:r>
          </w:p>
        </w:tc>
        <w:tc>
          <w:tcPr>
            <w:tcW w:type="dxa" w:w="1728"/>
          </w:tcPr>
          <w:p>
            <w:r>
              <w:t>SD-001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C-133</w:t>
            </w:r>
          </w:p>
        </w:tc>
        <w:tc>
          <w:tcPr>
            <w:tcW w:type="dxa" w:w="1728"/>
          </w:tcPr>
          <w:p>
            <w:r>
              <w:t>Activity Stream &amp; Timeline</w:t>
            </w:r>
          </w:p>
        </w:tc>
        <w:tc>
          <w:tcPr>
            <w:tcW w:type="dxa" w:w="1728"/>
          </w:tcPr>
          <w:p>
            <w:r>
              <w:t>Provide enterprise activity visibility.</w:t>
            </w:r>
          </w:p>
        </w:tc>
        <w:tc>
          <w:tcPr>
            <w:tcW w:type="dxa" w:w="1728"/>
          </w:tcPr>
          <w:p>
            <w:r>
              <w:t>PE-001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C-150</w:t>
            </w:r>
          </w:p>
        </w:tc>
        <w:tc>
          <w:tcPr>
            <w:tcW w:type="dxa" w:w="1728"/>
          </w:tcPr>
          <w:p>
            <w:r>
              <w:t>Integration Management</w:t>
            </w:r>
          </w:p>
        </w:tc>
        <w:tc>
          <w:tcPr>
            <w:tcW w:type="dxa" w:w="1728"/>
          </w:tcPr>
          <w:p>
            <w:r>
              <w:t>Enable interoperability.</w:t>
            </w:r>
          </w:p>
        </w:tc>
        <w:tc>
          <w:tcPr>
            <w:tcW w:type="dxa" w:w="1728"/>
          </w:tcPr>
          <w:p>
            <w:r>
              <w:t>SD-001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C-151</w:t>
            </w:r>
          </w:p>
        </w:tc>
        <w:tc>
          <w:tcPr>
            <w:tcW w:type="dxa" w:w="1728"/>
          </w:tcPr>
          <w:p>
            <w:r>
              <w:t>Import &amp; Export Management</w:t>
            </w:r>
          </w:p>
        </w:tc>
        <w:tc>
          <w:tcPr>
            <w:tcW w:type="dxa" w:w="1728"/>
          </w:tcPr>
          <w:p>
            <w:r>
              <w:t>Exchange enterprise data.</w:t>
            </w:r>
          </w:p>
        </w:tc>
        <w:tc>
          <w:tcPr>
            <w:tcW w:type="dxa" w:w="1728"/>
          </w:tcPr>
          <w:p>
            <w:r>
              <w:t>SD-001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</w:tbl>
    <w:p>
      <w:pPr>
        <w:pStyle w:val="Heading2"/>
      </w:pPr>
      <w:r>
        <w:t>3. Governance</w:t>
      </w:r>
    </w:p>
    <w:p>
      <w:r>
        <w:t>Capability identifiers are immutable. Each capability belongs to one primary domain. New capabilities shall be appended within reserved domain ranges. Deprecated capabilities remain in the registry.</w:t>
      </w:r>
    </w:p>
    <w:p>
      <w:pPr>
        <w:pStyle w:val="Heading2"/>
      </w:pPr>
      <w:r>
        <w:t>4. Conformance</w:t>
      </w:r>
    </w:p>
    <w:p>
      <w:r>
        <w:t>All canonical specifications shall reference CAP-001 for capability identity. Capability names and identifiers shall not be redefined elsewhere.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