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2E5B8C"/>
          <w:sz w:val="20"/>
          <w:szCs w:val="20"/>
        </w:rPr>
        <w:t xml:space="preserve">THE ENTERPRISE UNDERSTANDING GAP</w:t>
      </w:r>
    </w:p>
    <w:p>
      <w:pPr>
        <w:spacing w:before="200"/>
        <w:jc w:val="center"/>
      </w:pPr>
      <w:r>
        <w:rPr>
          <w:rFonts w:ascii="Calibri" w:cs="Calibri" w:eastAsia="Calibri" w:hAnsi="Calibri"/>
          <w:b/>
          <w:bCs/>
          <w:color w:val="1A2B4C"/>
          <w:sz w:val="44"/>
          <w:szCs w:val="44"/>
        </w:rPr>
        <w:t xml:space="preserve">Why the Next Decade of Enterprise Advantage</w:t>
      </w:r>
    </w:p>
    <w:p>
      <w:pPr>
        <w:jc w:val="center"/>
      </w:pPr>
      <w:r>
        <w:rPr>
          <w:rFonts w:ascii="Calibri" w:cs="Calibri" w:eastAsia="Calibri" w:hAnsi="Calibri"/>
          <w:b/>
          <w:bCs/>
          <w:color w:val="1A2B4C"/>
          <w:sz w:val="44"/>
          <w:szCs w:val="44"/>
        </w:rPr>
        <w:t xml:space="preserve">Belongs to Organizations That Understand Themselves</w:t>
      </w:r>
    </w:p>
    <w:p>
      <w:pPr>
        <w:spacing w:before="400"/>
        <w:jc w:val="center"/>
      </w:pPr>
      <w:r>
        <w:rPr>
          <w:rFonts w:ascii="Calibri" w:cs="Calibri" w:eastAsia="Calibri" w:hAnsi="Calibri"/>
          <w:i/>
          <w:iCs/>
          <w:color w:val="2E5B8C"/>
          <w:sz w:val="26"/>
          <w:szCs w:val="26"/>
        </w:rPr>
        <w:t xml:space="preserve">An Executive Introduction to CorpStage</w:t>
      </w:r>
    </w:p>
    <w:p>
      <w:pPr>
        <w:spacing w:before="1800"/>
        <w:jc w:val="center"/>
      </w:pPr>
      <w:r>
        <w:rPr>
          <w:rFonts w:ascii="Calibri" w:cs="Calibri" w:eastAsia="Calibri" w:hAnsi="Calibri"/>
          <w:color w:val="5A5A5A"/>
          <w:sz w:val="18"/>
          <w:szCs w:val="18"/>
        </w:rPr>
        <w:t xml:space="preserve">EXECUTIVE BRIEFING  ·  CONFIDENTIAL</w:t>
      </w:r>
    </w:p>
    <w:p>
      <w:r>
        <w:br w:type="page"/>
      </w:r>
    </w:p>
    <w:p>
      <w:pPr>
        <w:pStyle w:val="Heading1"/>
        <w:pBdr>
          <w:bottom w:val="single" w:color="2E5B8C" w:sz="8" w:space="6"/>
        </w:pBdr>
        <w:spacing w:after="200" w:before="420"/>
      </w:pPr>
      <w:r>
        <w:rPr>
          <w:rFonts w:ascii="Calibri" w:cs="Calibri" w:eastAsia="Calibri" w:hAnsi="Calibri"/>
          <w:b/>
          <w:bCs/>
          <w:color w:val="1A2B4C"/>
          <w:sz w:val="30"/>
          <w:szCs w:val="30"/>
        </w:rPr>
        <w:t xml:space="preserve">Executive Summary</w:t>
      </w:r>
    </w:p>
    <w:p>
      <w:pPr>
        <w:spacing w:after="260" w:line="300"/>
      </w:pPr>
      <w:r>
        <w:rPr>
          <w:rFonts w:ascii="Calibri" w:cs="Calibri" w:eastAsia="Calibri" w:hAnsi="Calibri"/>
          <w:b/>
          <w:bCs/>
          <w:color w:val="1A2B4C"/>
          <w:sz w:val="24"/>
          <w:szCs w:val="24"/>
        </w:rPr>
        <w:t xml:space="preserve">Every enterprise decision depends on understanding — of the business itself, and of the world in which it operates. Despite decades of investment in ERP, CRM, and analytics, that understanding remains fragmented, and is rebuilt by hand every time a board question, a regulatory filing, or a strategic decision demands it.</w:t>
      </w:r>
    </w:p>
    <w:p>
      <w:pPr>
        <w:spacing w:after="200" w:line="288"/>
      </w:pPr>
      <w:r>
        <w:rPr>
          <w:rFonts w:ascii="Calibri" w:cs="Calibri" w:eastAsia="Calibri" w:hAnsi="Calibri"/>
          <w:color w:val="222222"/>
          <w:sz w:val="22"/>
          <w:szCs w:val="22"/>
        </w:rPr>
        <w:t xml:space="preserve">CorpStage is built to close this gap. It is an Intelligent Enterprise Operating Center that continuously builds a trusted, evidence-backed understanding of the enterprise, correlates it with the external world, and delivers it to decision-makers as ready, explainable intelligence. It is not another dashboard, another report, or another AI tool layered on top of existing systems — it is the connective layer those systems have always been missing.</w:t>
      </w:r>
    </w:p>
    <w:p>
      <w:pPr>
        <w:spacing w:after="200" w:line="288"/>
      </w:pPr>
      <w:r>
        <w:rPr>
          <w:rFonts w:ascii="Calibri" w:cs="Calibri" w:eastAsia="Calibri" w:hAnsi="Calibri"/>
          <w:color w:val="222222"/>
          <w:sz w:val="22"/>
          <w:szCs w:val="22"/>
        </w:rPr>
        <w:t xml:space="preserve">The result for the organizations that adopt it: faster and more consistent decisions, stronger governance, greater confidence in AI-generated recommendations, and a strategic asset — enterprise understanding itself — that compounds in value every day the business operates.</w:t>
      </w:r>
    </w:p>
    <w:p>
      <w:pPr>
        <w:pBdr>
          <w:left w:val="single" w:color="2E5B8C" w:sz="24" w:space="12"/>
        </w:pBdr>
        <w:spacing w:after="300" w:before="300"/>
        <w:ind w:left="500" w:right="500"/>
      </w:pPr>
      <w:r>
        <w:rPr>
          <w:rFonts w:ascii="Calibri" w:cs="Calibri" w:eastAsia="Calibri" w:hAnsi="Calibri"/>
          <w:i/>
          <w:iCs/>
          <w:color w:val="1A2B4C"/>
          <w:sz w:val="24"/>
          <w:szCs w:val="24"/>
        </w:rPr>
        <w:t xml:space="preserve">The competitive advantage of the next decade will not belong to organizations that collect more data or deploy more AI. It will belong to organizations that understand themselves more deeply, interpret the world around them continuously, and turn that understanding into better decisions.</w:t>
      </w:r>
    </w:p>
    <w:p>
      <w:pPr>
        <w:pStyle w:val="Heading1"/>
        <w:pBdr>
          <w:bottom w:val="single" w:color="2E5B8C" w:sz="8" w:space="6"/>
        </w:pBdr>
        <w:spacing w:after="200" w:before="420"/>
      </w:pPr>
      <w:r>
        <w:rPr>
          <w:rFonts w:ascii="Calibri" w:cs="Calibri" w:eastAsia="Calibri" w:hAnsi="Calibri"/>
          <w:b/>
          <w:bCs/>
          <w:color w:val="1A2B4C"/>
          <w:sz w:val="30"/>
          <w:szCs w:val="30"/>
        </w:rPr>
        <w:t xml:space="preserve">The Challenge: Understanding Has Not Kept Pace With Complexity</w:t>
      </w:r>
    </w:p>
    <w:p>
      <w:pPr>
        <w:spacing w:after="200" w:line="288"/>
      </w:pPr>
      <w:r>
        <w:rPr>
          <w:rFonts w:ascii="Calibri" w:cs="Calibri" w:eastAsia="Calibri" w:hAnsi="Calibri"/>
          <w:color w:val="222222"/>
          <w:sz w:val="22"/>
          <w:szCs w:val="22"/>
        </w:rPr>
        <w:t xml:space="preserve">Enterprise technology has never stopped advancing. ERP integrated operations. CRM transformed customer engagement. Business Intelligence improved visibility into performance. Artificial Intelligence expanded what a single analyst or executive can process. Each generation solved a real problem.</w:t>
      </w:r>
    </w:p>
    <w:p>
      <w:pPr>
        <w:spacing w:after="200" w:line="288"/>
      </w:pPr>
      <w:r>
        <w:rPr>
          <w:rFonts w:ascii="Calibri" w:cs="Calibri" w:eastAsia="Calibri" w:hAnsi="Calibri"/>
          <w:color w:val="222222"/>
          <w:sz w:val="22"/>
          <w:szCs w:val="22"/>
        </w:rPr>
        <w:t xml:space="preserve">Yet one problem persists: despite more systems and more data than ever before, most organizations still cannot answer a cross-functional question — which suppliers carry the greatest regulatory exposure, which strategic initiatives are most exposed to a policy change, how a market shift affects three different business units at once — without weeks of manual reconstruction. Every system captures its own part of the business. Almost none capture how those parts relate to each other.</w:t>
      </w:r>
    </w:p>
    <w:p>
      <w:pPr>
        <w:spacing w:after="200" w:line="288"/>
      </w:pPr>
      <w:r>
        <w:rPr>
          <w:rFonts w:ascii="Calibri" w:cs="Calibri" w:eastAsia="Calibri" w:hAnsi="Calibri"/>
          <w:color w:val="222222"/>
          <w:sz w:val="22"/>
          <w:szCs w:val="22"/>
        </w:rPr>
        <w:t xml:space="preserve">The problem is compounding, not stabilizing. The environment enterprises operate in has become as dynamic as the enterprise itself: regulation evolves continuously, markets react in real time, and supply chains and customer expectations shift on timelines shorter than most planning cycles. A decision that depends only on internal information is already working with an incomplete picture.</w:t>
      </w:r>
    </w:p>
    <w:p>
      <w:pPr>
        <w:spacing w:after="200" w:line="288"/>
      </w:pPr>
      <w:r>
        <w:rPr>
          <w:rFonts w:ascii="Calibri" w:cs="Calibri" w:eastAsia="Calibri" w:hAnsi="Calibri"/>
          <w:color w:val="222222"/>
          <w:sz w:val="22"/>
          <w:szCs w:val="22"/>
        </w:rPr>
        <w:t xml:space="preserve">Artificial Intelligence has not solved this — it has inherited it. AI is only as good as the business context it can reason over. Fed fragments, it produces fragmented recommendations, however fast and articulate they sound.</w:t>
      </w:r>
    </w:p>
    <w:p>
      <w:pPr>
        <w:pStyle w:val="Heading1"/>
        <w:pBdr>
          <w:bottom w:val="single" w:color="2E5B8C" w:sz="8" w:space="6"/>
        </w:pBdr>
        <w:spacing w:after="200" w:before="420"/>
      </w:pPr>
      <w:r>
        <w:rPr>
          <w:rFonts w:ascii="Calibri" w:cs="Calibri" w:eastAsia="Calibri" w:hAnsi="Calibri"/>
          <w:b/>
          <w:bCs/>
          <w:color w:val="1A2B4C"/>
          <w:sz w:val="30"/>
          <w:szCs w:val="30"/>
        </w:rPr>
        <w:t xml:space="preserve">Introducing CorpStage</w:t>
      </w:r>
    </w:p>
    <w:p>
      <w:pPr>
        <w:spacing w:after="200" w:line="288"/>
      </w:pPr>
      <w:r>
        <w:rPr>
          <w:rFonts w:ascii="Calibri" w:cs="Calibri" w:eastAsia="Calibri" w:hAnsi="Calibri"/>
          <w:color w:val="222222"/>
          <w:sz w:val="22"/>
          <w:szCs w:val="22"/>
        </w:rPr>
        <w:t xml:space="preserve">CorpStage is an Intelligent Enterprise Operating Center — a single, connected layer that continuously builds Enterprise Understanding from across the organization, correlates it with what is happening in the outside world, and delivers the result as Enterprise Intelligence: ready for a decision, not another data set to interpret.</w:t>
      </w:r>
    </w:p>
    <w:p>
      <w:pPr>
        <w:spacing w:after="200" w:line="288"/>
      </w:pPr>
      <w:r>
        <w:rPr>
          <w:rFonts w:ascii="Calibri" w:cs="Calibri" w:eastAsia="Calibri" w:hAnsi="Calibri"/>
          <w:color w:val="222222"/>
          <w:sz w:val="22"/>
          <w:szCs w:val="22"/>
        </w:rPr>
        <w:t xml:space="preserve">CorpStage does not replace the systems already running the business. ERP, CRM, and finance systems remain the systems of record for their respective functions. CorpStage's role is different: it connects what those systems collectively know, so the organization can understand itself as one enterprise — not as a collection of disconnected functions each holding a piece of the picture.</w:t>
      </w:r>
    </w:p>
    <w:p>
      <w:pPr>
        <w:pStyle w:val="Heading2"/>
        <w:spacing w:after="140" w:before="260"/>
      </w:pPr>
      <w:r>
        <w:rPr>
          <w:rFonts w:ascii="Calibri" w:cs="Calibri" w:eastAsia="Calibri" w:hAnsi="Calibri"/>
          <w:b/>
          <w:bCs/>
          <w:color w:val="2E5B8C"/>
          <w:sz w:val="24"/>
          <w:szCs w:val="24"/>
        </w:rPr>
        <w:t xml:space="preserve">How It Works — In Business Terms</w:t>
      </w:r>
    </w:p>
    <w:p>
      <w:pPr>
        <w:pStyle w:val="ListParagraph"/>
        <w:numPr>
          <w:ilvl w:val="0"/>
          <w:numId w:val="2"/>
        </w:numPr>
        <w:spacing w:after="120"/>
      </w:pPr>
      <w:r>
        <w:rPr>
          <w:rFonts w:ascii="Calibri" w:cs="Calibri" w:eastAsia="Calibri" w:hAnsi="Calibri"/>
          <w:color w:val="222222"/>
          <w:sz w:val="22"/>
          <w:szCs w:val="22"/>
        </w:rPr>
        <w:t xml:space="preserve">It builds understanding before it asks anything of your team. CorpStage discovers what it can from existing documents and systems first — a person is only asked a question once every automated option has been exhausted.</w:t>
      </w:r>
    </w:p>
    <w:p>
      <w:pPr>
        <w:pStyle w:val="ListParagraph"/>
        <w:numPr>
          <w:ilvl w:val="0"/>
          <w:numId w:val="2"/>
        </w:numPr>
        <w:spacing w:after="120"/>
      </w:pPr>
      <w:r>
        <w:rPr>
          <w:rFonts w:ascii="Calibri" w:cs="Calibri" w:eastAsia="Calibri" w:hAnsi="Calibri"/>
          <w:color w:val="222222"/>
          <w:sz w:val="22"/>
          <w:szCs w:val="22"/>
        </w:rPr>
        <w:t xml:space="preserve">Every number shows its evidence. No insight, score, or recommendation appears without a visible source and a confidence level — nothing is ever a black box your team has to take on faith.</w:t>
      </w:r>
    </w:p>
    <w:p>
      <w:pPr>
        <w:pStyle w:val="ListParagraph"/>
        <w:numPr>
          <w:ilvl w:val="0"/>
          <w:numId w:val="2"/>
        </w:numPr>
        <w:spacing w:after="120"/>
      </w:pPr>
      <w:r>
        <w:rPr>
          <w:rFonts w:ascii="Calibri" w:cs="Calibri" w:eastAsia="Calibri" w:hAnsi="Calibri"/>
          <w:color w:val="222222"/>
          <w:sz w:val="22"/>
          <w:szCs w:val="22"/>
        </w:rPr>
        <w:t xml:space="preserve">AI recommends. Your people decide. Every action a person can take, CorpStage can suggest — but approval, override, and final judgment always remain with a named, accountable human.</w:t>
      </w:r>
    </w:p>
    <w:p>
      <w:pPr>
        <w:pStyle w:val="ListParagraph"/>
        <w:numPr>
          <w:ilvl w:val="0"/>
          <w:numId w:val="2"/>
        </w:numPr>
        <w:spacing w:after="120"/>
      </w:pPr>
      <w:r>
        <w:rPr>
          <w:rFonts w:ascii="Calibri" w:cs="Calibri" w:eastAsia="Calibri" w:hAnsi="Calibri"/>
          <w:color w:val="222222"/>
          <w:sz w:val="22"/>
          <w:szCs w:val="22"/>
        </w:rPr>
        <w:t xml:space="preserve">It is quiet by design. The platform speaks only when something changes what an executive should do today — not to fill a dashboard with noise.</w:t>
      </w:r>
    </w:p>
    <w:p>
      <w:pPr>
        <w:pStyle w:val="ListParagraph"/>
        <w:numPr>
          <w:ilvl w:val="0"/>
          <w:numId w:val="2"/>
        </w:numPr>
        <w:spacing w:after="120"/>
      </w:pPr>
      <w:r>
        <w:rPr>
          <w:rFonts w:ascii="Calibri" w:cs="Calibri" w:eastAsia="Calibri" w:hAnsi="Calibri"/>
          <w:color w:val="222222"/>
          <w:sz w:val="22"/>
          <w:szCs w:val="22"/>
        </w:rPr>
        <w:t xml:space="preserve">Twelve screens carry the enterprise's most important decisions. Executive attention is finite, so the platform's most senior view is deliberately limited to what actually deserves it — never more than a handful of actions competing for attention at once.</w:t>
      </w:r>
    </w:p>
    <w:p>
      <w:pPr>
        <w:spacing w:after="100" w:before="300"/>
      </w:pPr>
      <w:r>
        <w:rPr>
          <w:rFonts w:ascii="Calibri" w:cs="Calibri" w:eastAsia="Calibri" w:hAnsi="Calibri"/>
          <w:b/>
          <w:bCs/>
          <w:color w:val="2E5B8C"/>
          <w:sz w:val="18"/>
          <w:szCs w:val="18"/>
        </w:rPr>
        <w:t xml:space="preserve">EXHIBIT 1</w:t>
      </w:r>
      <w:r>
        <w:rPr>
          <w:rFonts w:ascii="Calibri" w:cs="Calibri" w:eastAsia="Calibri" w:hAnsi="Calibri"/>
          <w:b/>
          <w:bCs/>
          <w:color w:val="1A2B4C"/>
          <w:sz w:val="18"/>
          <w:szCs w:val="18"/>
        </w:rPr>
        <w:t xml:space="preserve">   The Fundamental Shift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shd w:fill="1A2B4C"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Traditional Enterprise</w:t>
            </w:r>
          </w:p>
        </w:tc>
        <w:tc>
          <w:tcPr>
            <w:tcW w:type="pct" w:w="50%"/>
            <w:shd w:fill="2E5B8C"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The CorpStage Model</w:t>
            </w:r>
          </w:p>
        </w:tc>
      </w:tr>
      <w:tr>
        <w:tc>
          <w:tcPr>
            <w:tcW w:type="pct" w:w="50%"/>
            <w:shd w:fill="F5F5F5"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Information is scattered across systems and rebuilt by hand for every board pack.</w:t>
            </w:r>
          </w:p>
        </w:tc>
        <w:tc>
          <w:tcPr>
            <w:tcW w:type="pct" w:w="50%"/>
            <w:shd w:fill="EAF0F7"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Enterprise Understanding is built once, continuously, and reused everywhere.</w:t>
            </w:r>
          </w:p>
        </w:tc>
      </w:tr>
      <w:tr>
        <w:tc>
          <w:tcPr>
            <w:tcW w:type="pct" w:w="50%"/>
            <w:shd w:fill="F5F5F5"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Decisions rely on internal data alone.</w:t>
            </w:r>
          </w:p>
        </w:tc>
        <w:tc>
          <w:tcPr>
            <w:tcW w:type="pct" w:w="50%"/>
            <w:shd w:fill="EAF0F7"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Every decision is informed by internal understanding correlated with the external world.</w:t>
            </w:r>
          </w:p>
        </w:tc>
      </w:tr>
      <w:tr>
        <w:tc>
          <w:tcPr>
            <w:tcW w:type="pct" w:w="50%"/>
            <w:shd w:fill="F5F5F5"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Reports drive what information gets collected.</w:t>
            </w:r>
          </w:p>
        </w:tc>
        <w:tc>
          <w:tcPr>
            <w:tcW w:type="pct" w:w="50%"/>
            <w:shd w:fill="EAF0F7"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Reports become an automatic output of intelligence the platform already maintains.</w:t>
            </w:r>
          </w:p>
        </w:tc>
      </w:tr>
      <w:tr>
        <w:tc>
          <w:tcPr>
            <w:tcW w:type="pct" w:w="50%"/>
            <w:shd w:fill="F5F5F5"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AI analyzes whatever fragments it is given.</w:t>
            </w:r>
          </w:p>
        </w:tc>
        <w:tc>
          <w:tcPr>
            <w:tcW w:type="pct" w:w="50%"/>
            <w:shd w:fill="EAF0F7"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AI reasons over a connected, evidenced understanding of the whole enterprise.</w:t>
            </w:r>
          </w:p>
        </w:tc>
      </w:tr>
      <w:tr>
        <w:tc>
          <w:tcPr>
            <w:tcW w:type="pct" w:w="50%"/>
            <w:shd w:fill="F5F5F5"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Business context is reconstructed from scratch each time a question arises.</w:t>
            </w:r>
          </w:p>
        </w:tc>
        <w:tc>
          <w:tcPr>
            <w:tcW w:type="pct" w:w="50%"/>
            <w:shd w:fill="EAF0F7"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Business context is always current, always available, always explainable.</w:t>
            </w:r>
          </w:p>
        </w:tc>
      </w:tr>
      <w:tr>
        <w:tc>
          <w:tcPr>
            <w:tcW w:type="pct" w:w="50%"/>
            <w:shd w:fill="F5F5F5"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Knowledge lives in individual systems and individual people.</w:t>
            </w:r>
          </w:p>
        </w:tc>
        <w:tc>
          <w:tcPr>
            <w:tcW w:type="pct" w:w="50%"/>
            <w:shd w:fill="EAF0F7"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Knowledge becomes a compounding enterprise asset — never lost, always improving.</w:t>
            </w:r>
          </w:p>
        </w:tc>
      </w:tr>
    </w:tbl>
    <w:p>
      <w:pPr>
        <w:pStyle w:val="Heading1"/>
        <w:pBdr>
          <w:bottom w:val="single" w:color="2E5B8C" w:sz="8" w:space="6"/>
        </w:pBdr>
        <w:spacing w:after="200" w:before="420"/>
      </w:pPr>
      <w:r>
        <w:rPr>
          <w:rFonts w:ascii="Calibri" w:cs="Calibri" w:eastAsia="Calibri" w:hAnsi="Calibri"/>
          <w:b/>
          <w:bCs/>
          <w:color w:val="1A2B4C"/>
          <w:sz w:val="30"/>
          <w:szCs w:val="30"/>
        </w:rPr>
        <w:t xml:space="preserve">The CorpStage Model</w:t>
      </w:r>
    </w:p>
    <w:p>
      <w:pPr>
        <w:spacing w:after="200" w:line="288"/>
      </w:pPr>
      <w:r>
        <w:rPr>
          <w:rFonts w:ascii="Calibri" w:cs="Calibri" w:eastAsia="Calibri" w:hAnsi="Calibri"/>
          <w:color w:val="222222"/>
          <w:sz w:val="22"/>
          <w:szCs w:val="22"/>
        </w:rPr>
        <w:t xml:space="preserve">CorpStage operates as four connected stages — not four separate products, but one continuous flow from raw business activity to board-ready intelligence.</w:t>
      </w:r>
    </w:p>
    <w:p>
      <w:pPr>
        <w:spacing w:after="100" w:before="300"/>
      </w:pPr>
      <w:r>
        <w:rPr>
          <w:rFonts w:ascii="Calibri" w:cs="Calibri" w:eastAsia="Calibri" w:hAnsi="Calibri"/>
          <w:b/>
          <w:bCs/>
          <w:color w:val="2E5B8C"/>
          <w:sz w:val="18"/>
          <w:szCs w:val="18"/>
        </w:rPr>
        <w:t xml:space="preserve">EXHIBIT 2</w:t>
      </w:r>
      <w:r>
        <w:rPr>
          <w:rFonts w:ascii="Calibri" w:cs="Calibri" w:eastAsia="Calibri" w:hAnsi="Calibri"/>
          <w:b/>
          <w:bCs/>
          <w:color w:val="1A2B4C"/>
          <w:sz w:val="18"/>
          <w:szCs w:val="18"/>
        </w:rPr>
        <w:t xml:space="preserve">   From Enterprise Activity to Enterprise Intelligence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pct" w:w="19%"/>
            <w:shd w:fill="1A2B4C"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Stage</w:t>
            </w:r>
          </w:p>
        </w:tc>
        <w:tc>
          <w:tcPr>
            <w:tcW w:type="pct" w:w="42%"/>
            <w:shd w:fill="1A2B4C"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What It Does</w:t>
            </w:r>
          </w:p>
        </w:tc>
        <w:tc>
          <w:tcPr>
            <w:tcW w:type="pct" w:w="39%"/>
            <w:shd w:fill="1A2B4C"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Business Outcome</w:t>
            </w:r>
          </w:p>
        </w:tc>
      </w:tr>
      <w:tr>
        <w:tc>
          <w:tcPr>
            <w:tcW w:type="pct" w:w="19%"/>
            <w:shd w:fill="EAF0F7" w:val="clear"/>
            <w:tcMar>
              <w:top w:type="dxa" w:w="120"/>
              <w:left w:type="dxa" w:w="160"/>
              <w:bottom w:type="dxa" w:w="120"/>
              <w:right w:type="dxa" w:w="160"/>
            </w:tcMar>
          </w:tcPr>
          <w:p>
            <w:pPr>
              <w:jc w:val="left"/>
            </w:pPr>
            <w:r>
              <w:rPr>
                <w:rFonts w:ascii="Calibri" w:cs="Calibri" w:eastAsia="Calibri" w:hAnsi="Calibri"/>
                <w:b/>
                <w:bCs/>
                <w:color w:val="1A2B4C"/>
                <w:sz w:val="20"/>
                <w:szCs w:val="20"/>
              </w:rPr>
              <w:t xml:space="preserve">Understanding</w:t>
            </w:r>
          </w:p>
        </w:tc>
        <w:tc>
          <w:tcPr>
            <w:tcW w:type="pct" w:w="42%"/>
            <w:shd w:fill="FFFFFF"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Continuously discovers and connects business context, relationships, and evidence — before asking anyone for a single input.</w:t>
            </w:r>
          </w:p>
        </w:tc>
        <w:tc>
          <w:tcPr>
            <w:tcW w:type="pct" w:w="39%"/>
            <w:shd w:fill="F5F5F5"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A single, trusted view of the enterprise, always current.</w:t>
            </w:r>
          </w:p>
        </w:tc>
      </w:tr>
      <w:tr>
        <w:tc>
          <w:tcPr>
            <w:tcW w:type="pct" w:w="19%"/>
            <w:shd w:fill="EAF0F7" w:val="clear"/>
            <w:tcMar>
              <w:top w:type="dxa" w:w="120"/>
              <w:left w:type="dxa" w:w="160"/>
              <w:bottom w:type="dxa" w:w="120"/>
              <w:right w:type="dxa" w:w="160"/>
            </w:tcMar>
          </w:tcPr>
          <w:p>
            <w:pPr>
              <w:jc w:val="left"/>
            </w:pPr>
            <w:r>
              <w:rPr>
                <w:rFonts w:ascii="Calibri" w:cs="Calibri" w:eastAsia="Calibri" w:hAnsi="Calibri"/>
                <w:b/>
                <w:bCs/>
                <w:color w:val="1A2B4C"/>
                <w:sz w:val="20"/>
                <w:szCs w:val="20"/>
              </w:rPr>
              <w:t xml:space="preserve">Intelligence</w:t>
            </w:r>
          </w:p>
        </w:tc>
        <w:tc>
          <w:tcPr>
            <w:tcW w:type="pct" w:w="42%"/>
            <w:shd w:fill="FFFFFF"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Correlates that understanding with the external world — markets, regulation, competitors, economic conditions — and evaluates risk, opportunity, and performance together.</w:t>
            </w:r>
          </w:p>
        </w:tc>
        <w:tc>
          <w:tcPr>
            <w:tcW w:type="pct" w:w="39%"/>
            <w:shd w:fill="F5F5F5"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Context-aware decisions, not isolated data points.</w:t>
            </w:r>
          </w:p>
        </w:tc>
      </w:tr>
      <w:tr>
        <w:tc>
          <w:tcPr>
            <w:tcW w:type="pct" w:w="19%"/>
            <w:shd w:fill="EAF0F7" w:val="clear"/>
            <w:tcMar>
              <w:top w:type="dxa" w:w="120"/>
              <w:left w:type="dxa" w:w="160"/>
              <w:bottom w:type="dxa" w:w="120"/>
              <w:right w:type="dxa" w:w="160"/>
            </w:tcMar>
          </w:tcPr>
          <w:p>
            <w:pPr>
              <w:jc w:val="left"/>
            </w:pPr>
            <w:r>
              <w:rPr>
                <w:rFonts w:ascii="Calibri" w:cs="Calibri" w:eastAsia="Calibri" w:hAnsi="Calibri"/>
                <w:b/>
                <w:bCs/>
                <w:color w:val="1A2B4C"/>
                <w:sz w:val="20"/>
                <w:szCs w:val="20"/>
              </w:rPr>
              <w:t xml:space="preserve">Exchange</w:t>
            </w:r>
          </w:p>
        </w:tc>
        <w:tc>
          <w:tcPr>
            <w:tcW w:type="pct" w:w="42%"/>
            <w:shd w:fill="FFFFFF"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Turns intelligence into the specific outputs each audience needs — board packs, regulatory filings, disclosures — generated, not assembled.</w:t>
            </w:r>
          </w:p>
        </w:tc>
        <w:tc>
          <w:tcPr>
            <w:tcW w:type="pct" w:w="39%"/>
            <w:shd w:fill="F5F5F5"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Reporting becomes a by-product of intelligence, not a project.</w:t>
            </w:r>
          </w:p>
        </w:tc>
      </w:tr>
      <w:tr>
        <w:tc>
          <w:tcPr>
            <w:tcW w:type="pct" w:w="19%"/>
            <w:shd w:fill="EAF0F7" w:val="clear"/>
            <w:tcMar>
              <w:top w:type="dxa" w:w="120"/>
              <w:left w:type="dxa" w:w="160"/>
              <w:bottom w:type="dxa" w:w="120"/>
              <w:right w:type="dxa" w:w="160"/>
            </w:tcMar>
          </w:tcPr>
          <w:p>
            <w:pPr>
              <w:jc w:val="left"/>
            </w:pPr>
            <w:r>
              <w:rPr>
                <w:rFonts w:ascii="Calibri" w:cs="Calibri" w:eastAsia="Calibri" w:hAnsi="Calibri"/>
                <w:b/>
                <w:bCs/>
                <w:color w:val="1A2B4C"/>
                <w:sz w:val="20"/>
                <w:szCs w:val="20"/>
              </w:rPr>
              <w:t xml:space="preserve">Governance</w:t>
            </w:r>
          </w:p>
        </w:tc>
        <w:tc>
          <w:tcPr>
            <w:tcW w:type="pct" w:w="42%"/>
            <w:shd w:fill="FFFFFF"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Keeps every number traceable to its source, every decision auditable, and every action attributable to a named, accountable owner.</w:t>
            </w:r>
          </w:p>
        </w:tc>
        <w:tc>
          <w:tcPr>
            <w:tcW w:type="pct" w:w="39%"/>
            <w:shd w:fill="F5F5F5" w:val="clear"/>
            <w:tcMar>
              <w:top w:type="dxa" w:w="120"/>
              <w:left w:type="dxa" w:w="160"/>
              <w:bottom w:type="dxa" w:w="120"/>
              <w:right w:type="dxa" w:w="160"/>
            </w:tcMar>
          </w:tcPr>
          <w:p>
            <w:pPr>
              <w:jc w:val="left"/>
            </w:pPr>
            <w:r>
              <w:rPr>
                <w:rFonts w:ascii="Calibri" w:cs="Calibri" w:eastAsia="Calibri" w:hAnsi="Calibri"/>
                <w:b w:val="false"/>
                <w:bCs w:val="false"/>
                <w:color w:val="222222"/>
                <w:sz w:val="20"/>
                <w:szCs w:val="20"/>
              </w:rPr>
              <w:t xml:space="preserve">Confidence for the board, the regulator, and the auditor alike.</w:t>
            </w:r>
          </w:p>
        </w:tc>
      </w:tr>
    </w:tbl>
    <w:p>
      <w:pPr>
        <w:pStyle w:val="Heading1"/>
        <w:pBdr>
          <w:bottom w:val="single" w:color="2E5B8C" w:sz="8" w:space="6"/>
        </w:pBdr>
        <w:spacing w:after="200" w:before="420"/>
      </w:pPr>
      <w:r>
        <w:rPr>
          <w:rFonts w:ascii="Calibri" w:cs="Calibri" w:eastAsia="Calibri" w:hAnsi="Calibri"/>
          <w:b/>
          <w:bCs/>
          <w:color w:val="1A2B4C"/>
          <w:sz w:val="30"/>
          <w:szCs w:val="30"/>
        </w:rPr>
        <w:t xml:space="preserve">Business Impact</w:t>
      </w:r>
    </w:p>
    <w:p>
      <w:pPr>
        <w:spacing w:after="200" w:line="288"/>
      </w:pPr>
      <w:r>
        <w:rPr>
          <w:rFonts w:ascii="Calibri" w:cs="Calibri" w:eastAsia="Calibri" w:hAnsi="Calibri"/>
          <w:color w:val="222222"/>
          <w:sz w:val="22"/>
          <w:szCs w:val="22"/>
        </w:rPr>
        <w:t xml:space="preserve">Organizations that adopt this model see change across five dimensions of how the enterprise operates — each with a direct financial consequence, not just an operational one:</w:t>
      </w:r>
    </w:p>
    <w:p>
      <w:pPr>
        <w:pStyle w:val="ListParagraph"/>
        <w:numPr>
          <w:ilvl w:val="0"/>
          <w:numId w:val="2"/>
        </w:numPr>
        <w:spacing w:after="120"/>
      </w:pPr>
      <w:r>
        <w:rPr>
          <w:rFonts w:ascii="Calibri" w:cs="Calibri" w:eastAsia="Calibri" w:hAnsi="Calibri"/>
          <w:color w:val="222222"/>
          <w:sz w:val="22"/>
          <w:szCs w:val="22"/>
        </w:rPr>
        <w:t xml:space="preserve">Faster, more consistent decisions — reducing the cost of delay itself: capital committed later than necessary, windows missed while information is assembled rather than acted on.</w:t>
      </w:r>
    </w:p>
    <w:p>
      <w:pPr>
        <w:pStyle w:val="ListParagraph"/>
        <w:numPr>
          <w:ilvl w:val="0"/>
          <w:numId w:val="2"/>
        </w:numPr>
        <w:spacing w:after="120"/>
      </w:pPr>
      <w:r>
        <w:rPr>
          <w:rFonts w:ascii="Calibri" w:cs="Calibri" w:eastAsia="Calibri" w:hAnsi="Calibri"/>
          <w:color w:val="222222"/>
          <w:sz w:val="22"/>
          <w:szCs w:val="22"/>
        </w:rPr>
        <w:t xml:space="preserve">Stronger governance and audit readiness — lowering exposure to regulatory penalty and the direct cost of audit and remediation, because every figure and action already carries a traceable, evidenced history.</w:t>
      </w:r>
    </w:p>
    <w:p>
      <w:pPr>
        <w:pStyle w:val="ListParagraph"/>
        <w:numPr>
          <w:ilvl w:val="0"/>
          <w:numId w:val="2"/>
        </w:numPr>
        <w:spacing w:after="120"/>
      </w:pPr>
      <w:r>
        <w:rPr>
          <w:rFonts w:ascii="Calibri" w:cs="Calibri" w:eastAsia="Calibri" w:hAnsi="Calibri"/>
          <w:color w:val="222222"/>
          <w:sz w:val="22"/>
          <w:szCs w:val="22"/>
        </w:rPr>
        <w:t xml:space="preserve">Greater trust in AI-generated recommendations — reducing the cost of AI outputs that go unused or get re-verified manually, because recommendations are reasoned over connected, evidenced understanding rather than isolated fragments.</w:t>
      </w:r>
    </w:p>
    <w:p>
      <w:pPr>
        <w:pStyle w:val="ListParagraph"/>
        <w:numPr>
          <w:ilvl w:val="0"/>
          <w:numId w:val="2"/>
        </w:numPr>
        <w:spacing w:after="120"/>
      </w:pPr>
      <w:r>
        <w:rPr>
          <w:rFonts w:ascii="Calibri" w:cs="Calibri" w:eastAsia="Calibri" w:hAnsi="Calibri"/>
          <w:color w:val="222222"/>
          <w:sz w:val="22"/>
          <w:szCs w:val="22"/>
        </w:rPr>
        <w:t xml:space="preserve">Lower cost and duplication in reporting and compliance — every report generated from one maintained understanding instead of reassembled per audience removes a recurring line item, not a one-time efficiency.</w:t>
      </w:r>
    </w:p>
    <w:p>
      <w:pPr>
        <w:pStyle w:val="ListParagraph"/>
        <w:numPr>
          <w:ilvl w:val="0"/>
          <w:numId w:val="2"/>
        </w:numPr>
        <w:spacing w:after="120"/>
      </w:pPr>
      <w:r>
        <w:rPr>
          <w:rFonts w:ascii="Calibri" w:cs="Calibri" w:eastAsia="Calibri" w:hAnsi="Calibri"/>
          <w:color w:val="222222"/>
          <w:sz w:val="22"/>
          <w:szCs w:val="22"/>
        </w:rPr>
        <w:t xml:space="preserve">A compounding strategic asset — enterprise understanding that grows in value with every decision, rather than resetting to zero and being rebuilt at cost each time it is needed.</w:t>
      </w:r>
    </w:p>
    <w:p>
      <w:pPr>
        <w:pStyle w:val="Heading1"/>
        <w:pBdr>
          <w:bottom w:val="single" w:color="2E5B8C" w:sz="8" w:space="6"/>
        </w:pBdr>
        <w:spacing w:after="200" w:before="420"/>
      </w:pPr>
      <w:r>
        <w:rPr>
          <w:rFonts w:ascii="Calibri" w:cs="Calibri" w:eastAsia="Calibri" w:hAnsi="Calibri"/>
          <w:b/>
          <w:bCs/>
          <w:color w:val="1A2B4C"/>
          <w:sz w:val="30"/>
          <w:szCs w:val="30"/>
        </w:rPr>
        <w:t xml:space="preserve">Reports Become Outcomes, Not Projects</w:t>
      </w:r>
    </w:p>
    <w:p>
      <w:pPr>
        <w:spacing w:after="200" w:line="288"/>
      </w:pPr>
      <w:r>
        <w:rPr>
          <w:rFonts w:ascii="Calibri" w:cs="Calibri" w:eastAsia="Calibri" w:hAnsi="Calibri"/>
          <w:color w:val="222222"/>
          <w:sz w:val="22"/>
          <w:szCs w:val="22"/>
        </w:rPr>
        <w:t xml:space="preserve">For decades, enterprises have organized much of their information management around the production of reports — annual reports, board packs, regulatory filings, risk assessments — each one a fresh, manual assembly of largely the same underlying facts.</w:t>
      </w:r>
    </w:p>
    <w:p>
      <w:pPr>
        <w:spacing w:after="200" w:line="288"/>
      </w:pPr>
      <w:r>
        <w:rPr>
          <w:rFonts w:ascii="Calibri" w:cs="Calibri" w:eastAsia="Calibri" w:hAnsi="Calibri"/>
          <w:color w:val="222222"/>
          <w:sz w:val="22"/>
          <w:szCs w:val="22"/>
        </w:rPr>
        <w:t xml:space="preserve">CorpStage inverts this. Enterprise Understanding is maintained continuously; every report becomes a generated expression of that understanding, current as of the moment it is produced, rather than a project that starts from a blank page. An annual report, a board paper, and a regulatory filing draw from the same trusted foundation — each shaped for its audience, none of them rebuilt from scratch.</w:t>
      </w:r>
    </w:p>
    <w:p>
      <w:pPr>
        <w:pBdr>
          <w:left w:val="single" w:color="2E5B8C" w:sz="24" w:space="12"/>
        </w:pBdr>
        <w:spacing w:after="300" w:before="300"/>
        <w:ind w:left="500" w:right="500"/>
      </w:pPr>
      <w:r>
        <w:rPr>
          <w:rFonts w:ascii="Calibri" w:cs="Calibri" w:eastAsia="Calibri" w:hAnsi="Calibri"/>
          <w:i/>
          <w:iCs/>
          <w:color w:val="1A2B4C"/>
          <w:sz w:val="24"/>
          <w:szCs w:val="24"/>
        </w:rPr>
        <w:t xml:space="preserve">Reports should not be the destination of enterprise knowledge. They should be the natural outcome of enterprise intelligence.</w:t>
      </w:r>
    </w:p>
    <w:p>
      <w:pPr>
        <w:pStyle w:val="Heading1"/>
        <w:pBdr>
          <w:bottom w:val="single" w:color="2E5B8C" w:sz="8" w:space="6"/>
        </w:pBdr>
        <w:spacing w:after="200" w:before="420"/>
      </w:pPr>
      <w:r>
        <w:rPr>
          <w:rFonts w:ascii="Calibri" w:cs="Calibri" w:eastAsia="Calibri" w:hAnsi="Calibri"/>
          <w:b/>
          <w:bCs/>
          <w:color w:val="1A2B4C"/>
          <w:sz w:val="30"/>
          <w:szCs w:val="30"/>
        </w:rPr>
        <w:t xml:space="preserve">The Path Forward</w:t>
      </w:r>
    </w:p>
    <w:p>
      <w:pPr>
        <w:spacing w:after="200" w:line="288"/>
      </w:pPr>
      <w:r>
        <w:rPr>
          <w:rFonts w:ascii="Calibri" w:cs="Calibri" w:eastAsia="Calibri" w:hAnsi="Calibri"/>
          <w:color w:val="222222"/>
          <w:sz w:val="22"/>
          <w:szCs w:val="22"/>
        </w:rPr>
        <w:t xml:space="preserve">The next stage of enterprise advantage will not be defined by another operational system, another reporting tool, or another AI application layered on top of what already exists. It will be defined by an organization's ability to continuously understand itself and continuously interpret the world in which it operates — and to turn both into decisions made with confidence.</w:t>
      </w:r>
    </w:p>
    <w:p>
      <w:pPr>
        <w:spacing w:after="200" w:line="288"/>
      </w:pPr>
      <w:r>
        <w:rPr>
          <w:rFonts w:ascii="Calibri" w:cs="Calibri" w:eastAsia="Calibri" w:hAnsi="Calibri"/>
          <w:color w:val="222222"/>
          <w:sz w:val="22"/>
          <w:szCs w:val="22"/>
        </w:rPr>
        <w:t xml:space="preserve">CorpStage is built to be that foundation: the Intelligent Enterprise Operating Center that turns fragmented information into a trusted, continuously evolving understanding of the enterprise — and turns that understanding into intelligence the organization can act on today.</w:t>
      </w:r>
    </w:p>
    <w:p>
      <w:pPr>
        <w:pBdr>
          <w:left w:val="single" w:color="2E5B8C" w:sz="24" w:space="12"/>
        </w:pBdr>
        <w:spacing w:after="300" w:before="300"/>
        <w:ind w:left="500" w:right="500"/>
      </w:pPr>
      <w:r>
        <w:rPr>
          <w:rFonts w:ascii="Calibri" w:cs="Calibri" w:eastAsia="Calibri" w:hAnsi="Calibri"/>
          <w:i/>
          <w:iCs/>
          <w:color w:val="1A2B4C"/>
          <w:sz w:val="24"/>
          <w:szCs w:val="24"/>
        </w:rPr>
        <w:t xml:space="preserve">The enterprises that lead the next decade will not simply become more digital. They will become enterprises that continuously understand themselves, continuously understand the world around them, and continuously adapt as both evolve.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Confidential — For Executive Distribution   |   Page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A5A5A"/>
        <w:sz w:val="16"/>
        <w:szCs w:val="16"/>
      </w:rPr>
      <w:t xml:space="preserve">CorpStage — Executive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2026-07-07T18:51:24.846Z</dcterms:created>
  <dcterms:modified xsi:type="dcterms:W3CDTF">2026-07-07T18:51:24.872Z</dcterms:modified>
</cp:coreProperties>
</file>

<file path=docProps/custom.xml><?xml version="1.0" encoding="utf-8"?>
<Properties xmlns="http://schemas.openxmlformats.org/officeDocument/2006/custom-properties" xmlns:vt="http://schemas.openxmlformats.org/officeDocument/2006/docPropsVTypes"/>
</file>