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FD23" w14:textId="0B54F2BE" w:rsidR="000B4415" w:rsidRPr="00C27728" w:rsidRDefault="00C27728" w:rsidP="000B4415">
      <w:pPr>
        <w:tabs>
          <w:tab w:val="right" w:pos="8789"/>
        </w:tabs>
        <w:rPr>
          <w:rFonts w:ascii="Calibri" w:hAnsi="Calibri" w:cs="Arial"/>
          <w:b/>
        </w:rPr>
      </w:pPr>
      <w:r w:rsidRPr="00C27728">
        <w:rPr>
          <w:rFonts w:ascii="Calibri" w:hAnsi="Calibri" w:cs="Arial"/>
          <w:b/>
        </w:rPr>
        <w:t>Associate Professor</w:t>
      </w:r>
      <w:r w:rsidR="005F03FD" w:rsidRPr="00C27728">
        <w:rPr>
          <w:rFonts w:ascii="Calibri" w:hAnsi="Calibri" w:cs="Arial"/>
          <w:b/>
        </w:rPr>
        <w:t xml:space="preserve"> </w:t>
      </w:r>
      <w:r w:rsidR="005001E6" w:rsidRPr="00C27728">
        <w:rPr>
          <w:rFonts w:ascii="Calibri" w:hAnsi="Calibri" w:cs="Arial"/>
          <w:b/>
        </w:rPr>
        <w:t>Melanie Daver</w:t>
      </w:r>
      <w:r w:rsidRPr="00C27728">
        <w:rPr>
          <w:rFonts w:ascii="Calibri" w:hAnsi="Calibri" w:cs="Arial"/>
          <w:b/>
        </w:rPr>
        <w:t>n</w:t>
      </w:r>
      <w:r w:rsidR="000B4415" w:rsidRPr="00C27728">
        <w:rPr>
          <w:rFonts w:ascii="Calibri" w:hAnsi="Calibri" w:cs="Arial"/>
          <w:b/>
        </w:rPr>
        <w:tab/>
      </w:r>
    </w:p>
    <w:p w14:paraId="6FFDF7E3" w14:textId="77777777" w:rsidR="000B4415" w:rsidRPr="0095649D" w:rsidRDefault="000B4415" w:rsidP="000B4415">
      <w:pPr>
        <w:tabs>
          <w:tab w:val="left" w:pos="5954"/>
        </w:tabs>
        <w:rPr>
          <w:rFonts w:ascii="Calibri" w:hAnsi="Calibri" w:cs="Arial"/>
          <w:sz w:val="20"/>
          <w:szCs w:val="20"/>
        </w:rPr>
      </w:pPr>
    </w:p>
    <w:p w14:paraId="7D1BA6F0" w14:textId="77777777" w:rsidR="000B4415" w:rsidRDefault="000B4415" w:rsidP="000B4415">
      <w:pPr>
        <w:tabs>
          <w:tab w:val="left" w:pos="5954"/>
        </w:tabs>
        <w:rPr>
          <w:rFonts w:ascii="Calibri" w:hAnsi="Calibri" w:cs="Arial"/>
          <w:b/>
          <w:sz w:val="20"/>
          <w:szCs w:val="20"/>
        </w:rPr>
      </w:pPr>
    </w:p>
    <w:p w14:paraId="28E03F8C" w14:textId="19D94235" w:rsidR="000B4415" w:rsidRDefault="000B4415" w:rsidP="000B4415">
      <w:pPr>
        <w:tabs>
          <w:tab w:val="left" w:pos="5954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Current academic e</w:t>
      </w:r>
      <w:r w:rsidRPr="0095649D">
        <w:rPr>
          <w:rFonts w:ascii="Calibri" w:hAnsi="Calibri" w:cs="Arial"/>
          <w:b/>
          <w:sz w:val="20"/>
          <w:szCs w:val="20"/>
        </w:rPr>
        <w:t>mployment and positions</w:t>
      </w:r>
      <w:r>
        <w:rPr>
          <w:rFonts w:ascii="Calibri" w:hAnsi="Calibri" w:cs="Arial"/>
          <w:b/>
          <w:sz w:val="20"/>
          <w:szCs w:val="20"/>
        </w:rPr>
        <w:t xml:space="preserve"> </w:t>
      </w:r>
    </w:p>
    <w:p w14:paraId="64EC7178" w14:textId="77777777" w:rsid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>Director of Australia Urban Observatory, RMIT University</w:t>
      </w:r>
    </w:p>
    <w:p w14:paraId="1D76E0B1" w14:textId="77777777" w:rsid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>Vice Chancellor’s Senior Research Fellow, RMIT University</w:t>
      </w:r>
    </w:p>
    <w:p w14:paraId="42FAF76A" w14:textId="611CDE0C" w:rsidR="005001E6" w:rsidRDefault="005001E6" w:rsidP="000B4415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>Co-</w:t>
      </w:r>
      <w:r w:rsidR="00C27728">
        <w:rPr>
          <w:rFonts w:ascii="Calibri" w:hAnsi="Calibri" w:cs="Arial"/>
          <w:i/>
          <w:sz w:val="20"/>
          <w:szCs w:val="20"/>
        </w:rPr>
        <w:t>Lead</w:t>
      </w:r>
      <w:r>
        <w:rPr>
          <w:rFonts w:ascii="Calibri" w:hAnsi="Calibri" w:cs="Arial"/>
          <w:i/>
          <w:sz w:val="20"/>
          <w:szCs w:val="20"/>
        </w:rPr>
        <w:t xml:space="preserve"> </w:t>
      </w:r>
      <w:r w:rsidR="00C27728">
        <w:rPr>
          <w:rFonts w:ascii="Calibri" w:hAnsi="Calibri" w:cs="Arial"/>
          <w:i/>
          <w:sz w:val="20"/>
          <w:szCs w:val="20"/>
        </w:rPr>
        <w:t>Health, Place and Society Research Program, Centre for Urban Research</w:t>
      </w:r>
      <w:r>
        <w:rPr>
          <w:rFonts w:ascii="Calibri" w:hAnsi="Calibri" w:cs="Arial"/>
          <w:i/>
          <w:sz w:val="20"/>
          <w:szCs w:val="20"/>
        </w:rPr>
        <w:t>, RMIT University</w:t>
      </w:r>
    </w:p>
    <w:p w14:paraId="3DF2A92A" w14:textId="43797C8D" w:rsidR="000B4415" w:rsidRDefault="005001E6" w:rsidP="000B4415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>Honorary Senior Research Fellow, Melbourne School of Population and Global Health, University of Melbourn</w:t>
      </w:r>
      <w:r w:rsidR="00C27728">
        <w:rPr>
          <w:rFonts w:ascii="Calibri" w:hAnsi="Calibri" w:cs="Arial"/>
          <w:i/>
          <w:sz w:val="20"/>
          <w:szCs w:val="20"/>
        </w:rPr>
        <w:t>e</w:t>
      </w:r>
    </w:p>
    <w:p w14:paraId="26AC057D" w14:textId="23353ECF" w:rsidR="00C27728" w:rsidRDefault="00C27728" w:rsidP="000B4415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</w:p>
    <w:p w14:paraId="4CB75A40" w14:textId="77777777" w:rsidR="00C27728" w:rsidRDefault="00C27728" w:rsidP="000B4415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</w:p>
    <w:p w14:paraId="3D4638BC" w14:textId="3874BDF1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</w:rPr>
        <w:t xml:space="preserve">Assoc/Prof Davern </w:t>
      </w:r>
      <w:r w:rsidRPr="00C27728">
        <w:rPr>
          <w:rFonts w:ascii="Calibri" w:hAnsi="Calibri" w:cs="Arial"/>
          <w:i/>
          <w:sz w:val="20"/>
          <w:szCs w:val="20"/>
        </w:rPr>
        <w:t>is a public health and urban planning researcher</w:t>
      </w:r>
      <w:r w:rsidRPr="00C27728">
        <w:rPr>
          <w:rFonts w:ascii="Calibri" w:hAnsi="Calibri" w:cs="Arial"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sz w:val="20"/>
          <w:szCs w:val="20"/>
        </w:rPr>
        <w:t>with long standing interest and knowledge in the development of social, economic and</w:t>
      </w:r>
      <w:r w:rsidRPr="00C27728">
        <w:rPr>
          <w:rFonts w:ascii="Calibri" w:hAnsi="Calibri" w:cs="Arial"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sz w:val="20"/>
          <w:szCs w:val="20"/>
        </w:rPr>
        <w:t>environmental indicators of individual and community wellbeing. A/Prof Davern has</w:t>
      </w:r>
      <w:r w:rsidRPr="00C27728">
        <w:rPr>
          <w:rFonts w:ascii="Calibri" w:hAnsi="Calibri" w:cs="Arial"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sz w:val="20"/>
          <w:szCs w:val="20"/>
        </w:rPr>
        <w:t xml:space="preserve">worked extensively across major </w:t>
      </w:r>
      <w:r w:rsidRPr="00C27728">
        <w:rPr>
          <w:rFonts w:ascii="Calibri" w:hAnsi="Calibri" w:cs="Arial"/>
          <w:i/>
          <w:sz w:val="20"/>
          <w:szCs w:val="20"/>
        </w:rPr>
        <w:t>research</w:t>
      </w:r>
      <w:r w:rsidRPr="00C27728">
        <w:rPr>
          <w:rFonts w:ascii="Calibri" w:hAnsi="Calibri" w:cs="Arial"/>
          <w:i/>
          <w:sz w:val="20"/>
          <w:szCs w:val="20"/>
        </w:rPr>
        <w:t xml:space="preserve"> projects assembling, manipulating and</w:t>
      </w:r>
      <w:r w:rsidRPr="00C27728">
        <w:rPr>
          <w:rFonts w:ascii="Calibri" w:hAnsi="Calibri" w:cs="Arial"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sz w:val="20"/>
          <w:szCs w:val="20"/>
        </w:rPr>
        <w:t>combining complex datasets illuminating social determinants of health, public health</w:t>
      </w:r>
      <w:r w:rsidRPr="00C27728">
        <w:rPr>
          <w:rFonts w:ascii="Calibri" w:hAnsi="Calibri" w:cs="Arial"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sz w:val="20"/>
          <w:szCs w:val="20"/>
        </w:rPr>
        <w:t xml:space="preserve">outcomes and urban planning and design. A/Prof Davern is the Director of the </w:t>
      </w:r>
      <w:hyperlink r:id="rId10" w:history="1">
        <w:r w:rsidRPr="00C27728">
          <w:rPr>
            <w:rStyle w:val="Hyperlink"/>
            <w:rFonts w:ascii="Calibri" w:hAnsi="Calibri" w:cs="Arial"/>
            <w:i/>
            <w:sz w:val="20"/>
            <w:szCs w:val="20"/>
          </w:rPr>
          <w:t>Australian</w:t>
        </w:r>
        <w:r w:rsidRPr="00C27728">
          <w:rPr>
            <w:rStyle w:val="Hyperlink"/>
            <w:rFonts w:ascii="Calibri" w:hAnsi="Calibri" w:cs="Arial"/>
            <w:i/>
            <w:sz w:val="20"/>
            <w:szCs w:val="20"/>
          </w:rPr>
          <w:t xml:space="preserve"> </w:t>
        </w:r>
        <w:r w:rsidRPr="00C27728">
          <w:rPr>
            <w:rStyle w:val="Hyperlink"/>
            <w:rFonts w:ascii="Calibri" w:hAnsi="Calibri" w:cs="Arial"/>
            <w:i/>
            <w:sz w:val="20"/>
            <w:szCs w:val="20"/>
          </w:rPr>
          <w:t>Urban Observatory</w:t>
        </w:r>
      </w:hyperlink>
      <w:r w:rsidRPr="00C27728">
        <w:rPr>
          <w:rFonts w:ascii="Calibri" w:hAnsi="Calibri" w:cs="Arial"/>
          <w:i/>
          <w:sz w:val="20"/>
          <w:szCs w:val="20"/>
        </w:rPr>
        <w:t xml:space="preserve"> (auo.org.au)</w:t>
      </w:r>
      <w:r w:rsidR="000F74EE">
        <w:rPr>
          <w:rFonts w:ascii="Calibri" w:hAnsi="Calibri" w:cs="Arial"/>
          <w:i/>
          <w:sz w:val="20"/>
          <w:szCs w:val="20"/>
        </w:rPr>
        <w:t xml:space="preserve"> which is the focus of her Vice Chancellor’s Research Fellowship at</w:t>
      </w:r>
      <w:r w:rsidRPr="00C27728">
        <w:rPr>
          <w:rFonts w:ascii="Calibri" w:hAnsi="Calibri" w:cs="Arial"/>
          <w:i/>
          <w:sz w:val="20"/>
          <w:szCs w:val="20"/>
        </w:rPr>
        <w:t xml:space="preserve"> the Centre for Urban Research measuring</w:t>
      </w:r>
      <w:r w:rsidR="000F74EE">
        <w:rPr>
          <w:rFonts w:ascii="Calibri" w:hAnsi="Calibri" w:cs="Arial"/>
          <w:i/>
          <w:sz w:val="20"/>
          <w:szCs w:val="20"/>
        </w:rPr>
        <w:t xml:space="preserve">, mapping and translating research knowledge on </w:t>
      </w:r>
      <w:r w:rsidRPr="00C27728">
        <w:rPr>
          <w:rFonts w:ascii="Calibri" w:hAnsi="Calibri" w:cs="Arial"/>
          <w:i/>
          <w:sz w:val="20"/>
          <w:szCs w:val="20"/>
        </w:rPr>
        <w:t xml:space="preserve">liveability </w:t>
      </w:r>
      <w:r w:rsidR="000F74EE">
        <w:rPr>
          <w:rFonts w:ascii="Calibri" w:hAnsi="Calibri" w:cs="Arial"/>
          <w:i/>
          <w:sz w:val="20"/>
          <w:szCs w:val="20"/>
        </w:rPr>
        <w:t>across t</w:t>
      </w:r>
      <w:r w:rsidRPr="00C27728">
        <w:rPr>
          <w:rFonts w:ascii="Calibri" w:hAnsi="Calibri" w:cs="Arial"/>
          <w:i/>
          <w:sz w:val="20"/>
          <w:szCs w:val="20"/>
        </w:rPr>
        <w:t>he 21 largest cities of Australia</w:t>
      </w:r>
      <w:r w:rsidR="000F74EE">
        <w:rPr>
          <w:rFonts w:ascii="Calibri" w:hAnsi="Calibri" w:cs="Arial"/>
          <w:i/>
          <w:sz w:val="20"/>
          <w:szCs w:val="20"/>
        </w:rPr>
        <w:t xml:space="preserve"> at the neighbourhood level.</w:t>
      </w:r>
    </w:p>
    <w:p w14:paraId="7822E2C2" w14:textId="77777777" w:rsidR="000B4415" w:rsidRPr="00621B28" w:rsidRDefault="000B4415" w:rsidP="000B4415">
      <w:pPr>
        <w:tabs>
          <w:tab w:val="left" w:pos="5954"/>
        </w:tabs>
        <w:rPr>
          <w:rFonts w:ascii="Calibri" w:hAnsi="Calibri" w:cs="Arial"/>
          <w:b/>
          <w:i/>
          <w:sz w:val="20"/>
          <w:szCs w:val="20"/>
        </w:rPr>
      </w:pPr>
    </w:p>
    <w:p w14:paraId="6722C5F1" w14:textId="77777777" w:rsidR="000B4415" w:rsidRDefault="000B4415" w:rsidP="000B4415">
      <w:pPr>
        <w:tabs>
          <w:tab w:val="left" w:pos="5954"/>
        </w:tabs>
        <w:rPr>
          <w:rFonts w:ascii="Calibri" w:hAnsi="Calibri" w:cs="Arial"/>
          <w:b/>
          <w:sz w:val="20"/>
          <w:szCs w:val="20"/>
        </w:rPr>
      </w:pPr>
    </w:p>
    <w:p w14:paraId="3C10AAB5" w14:textId="77777777" w:rsidR="000B4415" w:rsidRDefault="000B4415" w:rsidP="000B4415">
      <w:pPr>
        <w:tabs>
          <w:tab w:val="left" w:pos="5954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Major Prizes, Medals and Honours (up to five)</w:t>
      </w:r>
    </w:p>
    <w:p w14:paraId="02B3CF5C" w14:textId="027B20FF" w:rsidR="00C27728" w:rsidRDefault="00C27728" w:rsidP="00C77B6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i/>
          <w:sz w:val="20"/>
          <w:szCs w:val="20"/>
        </w:rPr>
        <w:t>2021, Excellence in Planning Research awarded by the Planning Institute of Australia</w:t>
      </w:r>
    </w:p>
    <w:p w14:paraId="40BCE3DB" w14:textId="545967C7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</w:rPr>
        <w:t>2020</w:t>
      </w:r>
      <w:r>
        <w:rPr>
          <w:rFonts w:ascii="Calibri" w:hAnsi="Calibri" w:cs="Arial"/>
          <w:i/>
          <w:sz w:val="20"/>
          <w:szCs w:val="20"/>
        </w:rPr>
        <w:t xml:space="preserve">, </w:t>
      </w:r>
      <w:r w:rsidRPr="00C27728">
        <w:rPr>
          <w:rFonts w:ascii="Calibri" w:hAnsi="Calibri" w:cs="Arial"/>
          <w:i/>
          <w:sz w:val="20"/>
          <w:szCs w:val="20"/>
        </w:rPr>
        <w:t xml:space="preserve">Industry Media Star, RMIT University.  </w:t>
      </w:r>
    </w:p>
    <w:p w14:paraId="297E2BC4" w14:textId="653185FB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</w:rPr>
        <w:t>2020</w:t>
      </w:r>
      <w:r>
        <w:rPr>
          <w:rFonts w:ascii="Calibri" w:hAnsi="Calibri" w:cs="Arial"/>
          <w:i/>
          <w:sz w:val="20"/>
          <w:szCs w:val="20"/>
        </w:rPr>
        <w:t xml:space="preserve">, </w:t>
      </w:r>
      <w:r w:rsidRPr="00C27728">
        <w:rPr>
          <w:rFonts w:ascii="Calibri" w:hAnsi="Calibri" w:cs="Arial"/>
          <w:i/>
          <w:sz w:val="20"/>
          <w:szCs w:val="20"/>
        </w:rPr>
        <w:t xml:space="preserve">Research </w:t>
      </w:r>
      <w:r w:rsidRPr="00C27728">
        <w:rPr>
          <w:rFonts w:ascii="Calibri" w:hAnsi="Calibri" w:cs="Arial"/>
          <w:i/>
          <w:sz w:val="20"/>
          <w:szCs w:val="20"/>
        </w:rPr>
        <w:t>Excellence</w:t>
      </w:r>
      <w:r w:rsidRPr="00C27728">
        <w:rPr>
          <w:rFonts w:ascii="Calibri" w:hAnsi="Calibri" w:cs="Arial"/>
          <w:i/>
          <w:sz w:val="20"/>
          <w:szCs w:val="20"/>
        </w:rPr>
        <w:t xml:space="preserve"> Engagement Award, School of Global Urban and Social Studies, RMIT University.</w:t>
      </w:r>
    </w:p>
    <w:p w14:paraId="104D9145" w14:textId="6504C15E" w:rsidR="00C77B68" w:rsidRDefault="00C77B68" w:rsidP="00C77B6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77B68">
        <w:rPr>
          <w:rFonts w:ascii="Calibri" w:hAnsi="Calibri" w:cs="Arial"/>
          <w:i/>
          <w:sz w:val="20"/>
          <w:szCs w:val="20"/>
        </w:rPr>
        <w:t>2019</w:t>
      </w:r>
      <w:r>
        <w:rPr>
          <w:rFonts w:ascii="Calibri" w:hAnsi="Calibri" w:cs="Arial"/>
          <w:i/>
          <w:sz w:val="20"/>
          <w:szCs w:val="20"/>
        </w:rPr>
        <w:t xml:space="preserve">, </w:t>
      </w:r>
      <w:r w:rsidRPr="00C77B68">
        <w:rPr>
          <w:rFonts w:ascii="Calibri" w:hAnsi="Calibri" w:cs="Arial"/>
          <w:i/>
          <w:sz w:val="20"/>
          <w:szCs w:val="20"/>
        </w:rPr>
        <w:t>Cutting Edge Research and Teaching Award provided to the Healthy Liveable Cities Group</w:t>
      </w:r>
      <w:r w:rsidR="00C27728">
        <w:rPr>
          <w:rFonts w:ascii="Calibri" w:hAnsi="Calibri" w:cs="Arial"/>
          <w:i/>
          <w:sz w:val="20"/>
          <w:szCs w:val="20"/>
        </w:rPr>
        <w:t xml:space="preserve">, awarded by the </w:t>
      </w:r>
      <w:r w:rsidRPr="00C77B68">
        <w:rPr>
          <w:rFonts w:ascii="Calibri" w:hAnsi="Calibri" w:cs="Arial"/>
          <w:i/>
          <w:sz w:val="20"/>
          <w:szCs w:val="20"/>
        </w:rPr>
        <w:t xml:space="preserve">Planning Institute of Australia. </w:t>
      </w:r>
    </w:p>
    <w:p w14:paraId="0ACABBE4" w14:textId="4E740FA9" w:rsidR="00C77B68" w:rsidRPr="00C77B68" w:rsidRDefault="00C77B68" w:rsidP="00C77B6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77B68">
        <w:rPr>
          <w:rFonts w:ascii="Calibri" w:hAnsi="Calibri" w:cs="Arial"/>
          <w:i/>
          <w:sz w:val="20"/>
          <w:szCs w:val="20"/>
        </w:rPr>
        <w:t>2019</w:t>
      </w:r>
      <w:r>
        <w:rPr>
          <w:rFonts w:ascii="Calibri" w:hAnsi="Calibri" w:cs="Arial"/>
          <w:i/>
          <w:sz w:val="20"/>
          <w:szCs w:val="20"/>
        </w:rPr>
        <w:t xml:space="preserve">, </w:t>
      </w:r>
      <w:r w:rsidRPr="00C77B68">
        <w:rPr>
          <w:rFonts w:ascii="Calibri" w:hAnsi="Calibri" w:cs="Arial"/>
          <w:i/>
          <w:sz w:val="20"/>
          <w:szCs w:val="20"/>
        </w:rPr>
        <w:t>RMIT Research Team Award for the Centre of Urban Research. Awarded by RMIT University.</w:t>
      </w:r>
    </w:p>
    <w:p w14:paraId="1E96D9AB" w14:textId="2C1B32A6" w:rsidR="00C77B68" w:rsidRDefault="00C77B68" w:rsidP="00C77B6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77B68">
        <w:rPr>
          <w:rFonts w:ascii="Calibri" w:hAnsi="Calibri" w:cs="Arial"/>
          <w:i/>
          <w:sz w:val="20"/>
          <w:szCs w:val="20"/>
        </w:rPr>
        <w:t>2018</w:t>
      </w:r>
      <w:r>
        <w:rPr>
          <w:rFonts w:ascii="Calibri" w:hAnsi="Calibri" w:cs="Arial"/>
          <w:i/>
          <w:sz w:val="20"/>
          <w:szCs w:val="20"/>
        </w:rPr>
        <w:t xml:space="preserve">, </w:t>
      </w:r>
      <w:r w:rsidRPr="00C77B68">
        <w:rPr>
          <w:rFonts w:ascii="Calibri" w:hAnsi="Calibri" w:cs="Arial"/>
          <w:i/>
          <w:sz w:val="20"/>
          <w:szCs w:val="20"/>
        </w:rPr>
        <w:t>Victorian Public Healthcare Awards, Highly Commended for Supporting Healthy Populations, Cardinia Shire Council Partnership. Awarded by the Victorian Department of Health and Human Services.</w:t>
      </w:r>
    </w:p>
    <w:p w14:paraId="2A72DC6E" w14:textId="137F1E70" w:rsidR="00C27728" w:rsidRDefault="00C27728" w:rsidP="00C77B6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</w:p>
    <w:p w14:paraId="1F0265C5" w14:textId="77777777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i/>
          <w:sz w:val="20"/>
          <w:szCs w:val="20"/>
        </w:rPr>
      </w:pPr>
      <w:r w:rsidRPr="00C27728">
        <w:rPr>
          <w:rFonts w:ascii="Calibri" w:hAnsi="Calibri" w:cs="Arial"/>
          <w:b/>
          <w:i/>
          <w:sz w:val="20"/>
          <w:szCs w:val="20"/>
        </w:rPr>
        <w:t>RESEARCH GRANTS AND CONTRACTS (2016 onwards)</w:t>
      </w:r>
    </w:p>
    <w:p w14:paraId="3A06F0DC" w14:textId="77777777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i/>
          <w:sz w:val="20"/>
          <w:szCs w:val="20"/>
        </w:rPr>
      </w:pPr>
    </w:p>
    <w:p w14:paraId="6245EF95" w14:textId="1E7FEAB0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  <w:lang w:val="en-US"/>
        </w:rPr>
      </w:pPr>
      <w:r w:rsidRPr="00C27728">
        <w:rPr>
          <w:rFonts w:ascii="Calibri" w:hAnsi="Calibri" w:cs="Arial"/>
          <w:i/>
          <w:sz w:val="20"/>
          <w:szCs w:val="20"/>
        </w:rPr>
        <w:t xml:space="preserve">Over the past 5 years I have been awarded $2.79M in funding from competitive grants including funding from NHMRC, ARC, </w:t>
      </w:r>
      <w:r w:rsidRPr="00C27728">
        <w:rPr>
          <w:rFonts w:ascii="Calibri" w:hAnsi="Calibri" w:cs="Arial"/>
          <w:i/>
          <w:sz w:val="20"/>
          <w:szCs w:val="20"/>
        </w:rPr>
        <w:t>government,</w:t>
      </w:r>
      <w:r w:rsidRPr="00C27728">
        <w:rPr>
          <w:rFonts w:ascii="Calibri" w:hAnsi="Calibri" w:cs="Arial"/>
          <w:i/>
          <w:sz w:val="20"/>
          <w:szCs w:val="20"/>
        </w:rPr>
        <w:t xml:space="preserve"> and philanthropy. I am also an Associate Investigator on an NHMRC Centre for Research Excellence in Disability and Health ($2.5M, 2016-2021) and CI on 2 NHMRC Ideas Grants worth $2.75M currently under review. I am also a Chief Investigator of 2 RMIT grants of $631,137 and $118,229 awarded in 2018 and 2019.</w:t>
      </w:r>
      <w:r>
        <w:rPr>
          <w:rFonts w:ascii="Calibri" w:hAnsi="Calibri" w:cs="Arial"/>
          <w:i/>
          <w:sz w:val="20"/>
          <w:szCs w:val="20"/>
        </w:rPr>
        <w:t xml:space="preserve"> </w:t>
      </w:r>
    </w:p>
    <w:p w14:paraId="72305D41" w14:textId="32BDEF8D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</w:rPr>
        <w:t xml:space="preserve">Since 2017, I have received </w:t>
      </w:r>
      <w:r>
        <w:rPr>
          <w:rFonts w:ascii="Calibri" w:hAnsi="Calibri" w:cs="Arial"/>
          <w:i/>
          <w:sz w:val="20"/>
          <w:szCs w:val="20"/>
        </w:rPr>
        <w:t xml:space="preserve">over </w:t>
      </w:r>
      <w:r w:rsidRPr="00C27728">
        <w:rPr>
          <w:rFonts w:ascii="Calibri" w:hAnsi="Calibri" w:cs="Arial"/>
          <w:i/>
          <w:sz w:val="20"/>
          <w:szCs w:val="20"/>
        </w:rPr>
        <w:t>$</w:t>
      </w:r>
      <w:r>
        <w:rPr>
          <w:rFonts w:ascii="Calibri" w:hAnsi="Calibri" w:cs="Arial"/>
          <w:i/>
          <w:sz w:val="20"/>
          <w:szCs w:val="20"/>
        </w:rPr>
        <w:t>1M</w:t>
      </w:r>
      <w:r w:rsidRPr="00C27728">
        <w:rPr>
          <w:rFonts w:ascii="Calibri" w:hAnsi="Calibri" w:cs="Arial"/>
          <w:i/>
          <w:sz w:val="20"/>
          <w:szCs w:val="20"/>
        </w:rPr>
        <w:t xml:space="preserve"> of applied government (all tiers) and industry research.</w:t>
      </w:r>
    </w:p>
    <w:p w14:paraId="44767DD3" w14:textId="77777777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</w:rPr>
        <w:t xml:space="preserve"> </w:t>
      </w:r>
    </w:p>
    <w:p w14:paraId="77DDD23F" w14:textId="77777777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  <w:r w:rsidRPr="00C27728">
        <w:rPr>
          <w:rFonts w:ascii="Calibri" w:hAnsi="Calibri" w:cs="Arial"/>
          <w:b/>
          <w:bCs/>
          <w:i/>
          <w:sz w:val="20"/>
          <w:szCs w:val="20"/>
        </w:rPr>
        <w:t>Selected Grants</w:t>
      </w:r>
    </w:p>
    <w:p w14:paraId="13D7BB18" w14:textId="77777777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5631331A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  <w:lang w:val="en-NZ"/>
        </w:rPr>
      </w:pPr>
      <w:bookmarkStart w:id="0" w:name="_Hlk83028150"/>
      <w:bookmarkStart w:id="1" w:name="_Hlk83028265"/>
      <w:bookmarkStart w:id="2" w:name="_Hlk83028223"/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Moloney, S., </w:t>
      </w:r>
      <w:r w:rsidRPr="00C27728">
        <w:rPr>
          <w:rFonts w:ascii="Calibri" w:hAnsi="Calibri" w:cs="Arial"/>
          <w:b/>
          <w:bCs/>
          <w:i/>
          <w:sz w:val="20"/>
          <w:szCs w:val="20"/>
          <w:lang w:val="en-NZ"/>
        </w:rPr>
        <w:t>Davern, M.,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 Gooder, H., Hewitt, T., Green, R., McShane, I., De Silva, A. &amp; Alderton, A. (2021-2022). </w:t>
      </w:r>
      <w:r w:rsidRPr="00C27728">
        <w:rPr>
          <w:rFonts w:ascii="Calibri" w:hAnsi="Calibri" w:cs="Arial"/>
          <w:i/>
          <w:iCs/>
          <w:sz w:val="20"/>
          <w:szCs w:val="20"/>
          <w:lang w:val="en-NZ"/>
        </w:rPr>
        <w:t>What works for place-based approaches in Victoria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>. Department of Jobs, Precincts and Regions, $400,000.</w:t>
      </w:r>
    </w:p>
    <w:p w14:paraId="38824CCE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  <w:lang w:val="en-NZ"/>
        </w:rPr>
      </w:pP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Bekessy S., Garrard, G. </w:t>
      </w:r>
      <w:r w:rsidRPr="00C27728">
        <w:rPr>
          <w:rFonts w:ascii="Calibri" w:hAnsi="Calibri" w:cs="Arial"/>
          <w:b/>
          <w:bCs/>
          <w:i/>
          <w:sz w:val="20"/>
          <w:szCs w:val="20"/>
          <w:lang w:val="en-NZ"/>
        </w:rPr>
        <w:t>&amp; Davern, M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. (2020-2024). </w:t>
      </w:r>
      <w:r w:rsidRPr="00C27728">
        <w:rPr>
          <w:rFonts w:ascii="Calibri" w:hAnsi="Calibri" w:cs="Arial"/>
          <w:i/>
          <w:iCs/>
          <w:sz w:val="20"/>
          <w:szCs w:val="20"/>
          <w:lang w:val="en-NZ"/>
        </w:rPr>
        <w:t>Biodiversity sensitive urban design: from theory to practice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. Ian Potter Foundation, $600,000. </w:t>
      </w:r>
    </w:p>
    <w:bookmarkEnd w:id="2"/>
    <w:p w14:paraId="79C944F0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Barr, S., Smith, M., Mengersen, K., </w:t>
      </w:r>
      <w:r w:rsidRPr="00C27728">
        <w:rPr>
          <w:rFonts w:ascii="Calibri" w:hAnsi="Calibri" w:cs="Arial"/>
          <w:b/>
          <w:bCs/>
          <w:i/>
          <w:sz w:val="20"/>
          <w:szCs w:val="20"/>
          <w:lang w:val="en-NZ"/>
        </w:rPr>
        <w:t>Davern, M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., McNamara, M. (2021-2023). </w:t>
      </w:r>
      <w:r w:rsidRPr="00C27728">
        <w:rPr>
          <w:rFonts w:ascii="Calibri" w:hAnsi="Calibri" w:cs="Arial"/>
          <w:i/>
          <w:iCs/>
          <w:sz w:val="20"/>
          <w:szCs w:val="20"/>
          <w:lang w:val="en-NZ"/>
        </w:rPr>
        <w:t>Australian Urban Heat Indicators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. National Collaborative Research Infrastructure Strategy, $601,000. </w:t>
      </w:r>
      <w:bookmarkStart w:id="3" w:name="_Hlk83028180"/>
      <w:bookmarkEnd w:id="0"/>
      <w:bookmarkEnd w:id="1"/>
    </w:p>
    <w:p w14:paraId="39669DAE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</w:rPr>
        <w:t xml:space="preserve">Cleland, V., Timperio, A., Jose, K. &amp; </w:t>
      </w:r>
      <w:r w:rsidRPr="00C27728">
        <w:rPr>
          <w:rFonts w:ascii="Calibri" w:hAnsi="Calibri" w:cs="Arial"/>
          <w:b/>
          <w:bCs/>
          <w:i/>
          <w:sz w:val="20"/>
          <w:szCs w:val="20"/>
        </w:rPr>
        <w:t xml:space="preserve">Davern, M. </w:t>
      </w:r>
      <w:r w:rsidRPr="00C27728">
        <w:rPr>
          <w:rFonts w:ascii="Calibri" w:hAnsi="Calibri" w:cs="Arial"/>
          <w:i/>
          <w:sz w:val="20"/>
          <w:szCs w:val="20"/>
        </w:rPr>
        <w:t>(2020).</w:t>
      </w:r>
      <w:r w:rsidRPr="00C27728">
        <w:rPr>
          <w:rFonts w:ascii="Calibri" w:hAnsi="Calibri" w:cs="Arial"/>
          <w:b/>
          <w:bCs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iCs/>
          <w:sz w:val="20"/>
          <w:szCs w:val="20"/>
        </w:rPr>
        <w:t>Developing benchmarks and a smart online tool for assessing walkability in regional and rural communities: Supporting rural Australians to live healthy, active lives</w:t>
      </w:r>
      <w:r w:rsidRPr="00C27728">
        <w:rPr>
          <w:rFonts w:ascii="Calibri" w:hAnsi="Calibri" w:cs="Arial"/>
          <w:i/>
          <w:sz w:val="20"/>
          <w:szCs w:val="20"/>
        </w:rPr>
        <w:t>. NHMRC Medical Research Future Fund, University of Tasmania, $579,968.</w:t>
      </w:r>
    </w:p>
    <w:p w14:paraId="30BBE4AB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  <w:lang w:val="en-NZ"/>
        </w:rPr>
      </w:pPr>
      <w:r w:rsidRPr="00C27728">
        <w:rPr>
          <w:rFonts w:ascii="Calibri" w:hAnsi="Calibri" w:cs="Arial"/>
          <w:i/>
          <w:sz w:val="20"/>
          <w:szCs w:val="20"/>
          <w:lang w:val="en-NZ"/>
        </w:rPr>
        <w:t>Gunn, L.,</w:t>
      </w:r>
      <w:r w:rsidRPr="00C27728">
        <w:rPr>
          <w:rFonts w:ascii="Calibri" w:hAnsi="Calibri" w:cs="Arial"/>
          <w:i/>
          <w:sz w:val="20"/>
          <w:szCs w:val="20"/>
        </w:rPr>
        <w:t xml:space="preserve"> 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Zapata-Diomedi, B., </w:t>
      </w:r>
      <w:r w:rsidRPr="00C27728">
        <w:rPr>
          <w:rFonts w:ascii="Calibri" w:hAnsi="Calibri" w:cs="Arial"/>
          <w:b/>
          <w:i/>
          <w:sz w:val="20"/>
          <w:szCs w:val="20"/>
          <w:lang w:val="en-NZ"/>
        </w:rPr>
        <w:t>Davern, M.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, </w:t>
      </w:r>
      <w:r w:rsidRPr="00C27728">
        <w:rPr>
          <w:rFonts w:ascii="Calibri" w:hAnsi="Calibri" w:cs="Arial"/>
          <w:i/>
          <w:sz w:val="20"/>
          <w:szCs w:val="20"/>
        </w:rPr>
        <w:t xml:space="preserve">De Gruyter, C. &amp; Both, A. (2019). </w:t>
      </w:r>
      <w:r w:rsidRPr="00C27728">
        <w:rPr>
          <w:rFonts w:ascii="Calibri" w:hAnsi="Calibri" w:cs="Arial"/>
          <w:i/>
          <w:iCs/>
          <w:sz w:val="20"/>
          <w:szCs w:val="20"/>
        </w:rPr>
        <w:t>Including health impacts in transport modelling and economic appraisal: research impact and translation</w:t>
      </w:r>
      <w:r w:rsidRPr="00C27728">
        <w:rPr>
          <w:rFonts w:ascii="Calibri" w:hAnsi="Calibri" w:cs="Arial"/>
          <w:i/>
          <w:sz w:val="20"/>
          <w:szCs w:val="20"/>
        </w:rPr>
        <w:t>. RMIT University, $118,229.</w:t>
      </w:r>
    </w:p>
    <w:bookmarkEnd w:id="3"/>
    <w:p w14:paraId="33404066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  <w:lang w:val="en-NZ"/>
        </w:rPr>
        <w:lastRenderedPageBreak/>
        <w:t xml:space="preserve">Badland, H., </w:t>
      </w:r>
      <w:r w:rsidRPr="00C27728">
        <w:rPr>
          <w:rFonts w:ascii="Calibri" w:hAnsi="Calibri" w:cs="Arial"/>
          <w:b/>
          <w:bCs/>
          <w:i/>
          <w:sz w:val="20"/>
          <w:szCs w:val="20"/>
          <w:lang w:val="en-NZ"/>
        </w:rPr>
        <w:t>Davern, M.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, Nivitipol, K., Alderton, H., Higgs, C.&amp; Ryan, E. (2018).  </w:t>
      </w:r>
      <w:r w:rsidRPr="00C27728">
        <w:rPr>
          <w:rFonts w:ascii="Calibri" w:hAnsi="Calibri" w:cs="Arial"/>
          <w:i/>
          <w:iCs/>
          <w:sz w:val="20"/>
          <w:szCs w:val="20"/>
          <w:lang w:val="en-NZ"/>
        </w:rPr>
        <w:t>Measuring, Monitoring, And Translating Liveability Through The Sustainable Development Goals To Inform Policy And Planning In Bangkok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>. Victorian Health Promotion Foundation, $199,791.</w:t>
      </w:r>
    </w:p>
    <w:p w14:paraId="42F35F72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Goodman, R., Phelan, K., Taylor, E., Nicholls, L., Gunn, L., </w:t>
      </w:r>
      <w:r w:rsidRPr="00C27728">
        <w:rPr>
          <w:rFonts w:ascii="Calibri" w:hAnsi="Calibri" w:cs="Arial"/>
          <w:b/>
          <w:i/>
          <w:sz w:val="20"/>
          <w:szCs w:val="20"/>
          <w:lang w:val="en-NZ"/>
        </w:rPr>
        <w:t>Davern, M.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>, Dalton, T., Bird, S., Motero, K., Rowley, S., Mellor, C., Hurley, J., Buxton, M., Johnson, M., Cassidy, P., Balci, K., Ward, N., Menzies, S., Murray, L., Black, J., Legare, E., Strangward, J. &amp; Oxlade, S. (2018-2021).  Early delivery of equitable and healthy transport options in new suburbs: Critical reforms and tools. RMIT University, $631,137.</w:t>
      </w:r>
    </w:p>
    <w:p w14:paraId="0DA182D1" w14:textId="77777777" w:rsidR="00C27728" w:rsidRPr="00C27728" w:rsidRDefault="00C27728" w:rsidP="00C27728">
      <w:pPr>
        <w:numPr>
          <w:ilvl w:val="0"/>
          <w:numId w:val="4"/>
        </w:numPr>
        <w:tabs>
          <w:tab w:val="left" w:pos="5954"/>
        </w:tabs>
        <w:rPr>
          <w:rFonts w:ascii="Calibri" w:hAnsi="Calibri" w:cs="Arial"/>
          <w:i/>
          <w:sz w:val="20"/>
          <w:szCs w:val="20"/>
          <w:lang w:val="en-NZ"/>
        </w:rPr>
      </w:pP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Livesley, S., Fuller, R., </w:t>
      </w:r>
      <w:r w:rsidRPr="00C27728">
        <w:rPr>
          <w:rFonts w:ascii="Calibri" w:hAnsi="Calibri" w:cs="Arial"/>
          <w:b/>
          <w:i/>
          <w:sz w:val="20"/>
          <w:szCs w:val="20"/>
          <w:lang w:val="en-NZ"/>
        </w:rPr>
        <w:t>Davern, M.,</w:t>
      </w:r>
      <w:r w:rsidRPr="00C27728">
        <w:rPr>
          <w:rFonts w:ascii="Calibri" w:hAnsi="Calibri" w:cs="Arial"/>
          <w:i/>
          <w:sz w:val="20"/>
          <w:szCs w:val="20"/>
          <w:lang w:val="en-NZ"/>
        </w:rPr>
        <w:t xml:space="preserve"> Kendal, D., Van der Ree, R., Hochuli, D. &amp; Threlfall, C. (2016-2020). Managing urban trees for people and wildlife. ARC Linkage #LP160100780, $320,000.</w:t>
      </w:r>
    </w:p>
    <w:p w14:paraId="71DACDC5" w14:textId="2C5B2D9E" w:rsid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40F1CB68" w14:textId="77777777" w:rsid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748484E0" w14:textId="171539CA" w:rsid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  <w:r w:rsidRPr="00C27728">
        <w:rPr>
          <w:rFonts w:ascii="Calibri" w:hAnsi="Calibri" w:cs="Arial"/>
          <w:b/>
          <w:bCs/>
          <w:i/>
          <w:sz w:val="20"/>
          <w:szCs w:val="20"/>
        </w:rPr>
        <w:t xml:space="preserve">Selected </w:t>
      </w:r>
      <w:r>
        <w:rPr>
          <w:rFonts w:ascii="Calibri" w:hAnsi="Calibri" w:cs="Arial"/>
          <w:b/>
          <w:bCs/>
          <w:i/>
          <w:sz w:val="20"/>
          <w:szCs w:val="20"/>
        </w:rPr>
        <w:t>Publications</w:t>
      </w:r>
    </w:p>
    <w:p w14:paraId="2456A82B" w14:textId="77777777" w:rsid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1417ED15" w14:textId="7618688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rPr>
          <w:rFonts w:ascii="Calibri" w:eastAsia="Calibri" w:hAnsi="Calibri" w:cs="Calibri"/>
          <w:sz w:val="20"/>
          <w:szCs w:val="20"/>
        </w:rPr>
      </w:pPr>
      <w:bookmarkStart w:id="4" w:name="_Hlk15661044"/>
      <w:r w:rsidRPr="00C27728">
        <w:rPr>
          <w:rFonts w:ascii="Calibri" w:eastAsia="Calibri" w:hAnsi="Calibri" w:cs="Calibri"/>
          <w:sz w:val="20"/>
          <w:szCs w:val="20"/>
        </w:rPr>
        <w:t xml:space="preserve">Kelly, D., </w:t>
      </w:r>
      <w:r w:rsidRPr="00C27728">
        <w:rPr>
          <w:rFonts w:ascii="Calibri" w:eastAsia="Calibri" w:hAnsi="Calibri" w:cs="Calibri"/>
          <w:b/>
          <w:bCs/>
          <w:sz w:val="20"/>
          <w:szCs w:val="20"/>
        </w:rPr>
        <w:t>Davern, M</w:t>
      </w:r>
      <w:r w:rsidRPr="00C27728">
        <w:rPr>
          <w:rFonts w:ascii="Calibri" w:eastAsia="Calibri" w:hAnsi="Calibri" w:cs="Calibri"/>
          <w:sz w:val="20"/>
          <w:szCs w:val="20"/>
        </w:rPr>
        <w:t>., Farahani, L., Higgs, C. &amp; Maller, C. (2021). Urban greening for health and wellbeing in low-income communities: A baseline study in Melbourne, Australia.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C27728">
        <w:rPr>
          <w:rFonts w:ascii="Calibri" w:eastAsia="Calibri" w:hAnsi="Calibri" w:cs="Calibri"/>
          <w:sz w:val="20"/>
          <w:szCs w:val="20"/>
        </w:rPr>
        <w:t>Cities</w:t>
      </w:r>
      <w:r>
        <w:rPr>
          <w:rFonts w:ascii="Calibri" w:eastAsia="Calibri" w:hAnsi="Calibri" w:cs="Calibri"/>
          <w:sz w:val="20"/>
          <w:szCs w:val="20"/>
        </w:rPr>
        <w:t>, h</w:t>
      </w:r>
      <w:r w:rsidRPr="00C27728">
        <w:rPr>
          <w:rFonts w:ascii="Calibri" w:eastAsia="Calibri" w:hAnsi="Calibri" w:cs="Calibri"/>
          <w:sz w:val="20"/>
          <w:szCs w:val="20"/>
        </w:rPr>
        <w:t>ttps://doi.org/10.1016/j.cities.2021.103442.</w:t>
      </w:r>
    </w:p>
    <w:p w14:paraId="74EF0270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</w:rPr>
      </w:pPr>
      <w:r w:rsidRPr="00C27728">
        <w:rPr>
          <w:rFonts w:ascii="Calibri" w:eastAsia="Calibri" w:hAnsi="Calibri" w:cs="Calibri"/>
          <w:b/>
          <w:bCs/>
          <w:sz w:val="20"/>
          <w:szCs w:val="20"/>
        </w:rPr>
        <w:t>Davern, M.,</w:t>
      </w:r>
      <w:r w:rsidRPr="00C27728">
        <w:rPr>
          <w:rFonts w:ascii="Calibri" w:eastAsia="Calibri" w:hAnsi="Calibri" w:cs="Calibri"/>
          <w:sz w:val="20"/>
          <w:szCs w:val="20"/>
        </w:rPr>
        <w:t xml:space="preserve"> Winterton, R., Brasher, K., &amp; Woolcock, G. (2020). How Can the Lived Environment Support Healthy Ageing? A Spatial Indicators Framework for the Assessment of Age-Friendly Communities. </w:t>
      </w:r>
      <w:r w:rsidRPr="00C27728">
        <w:rPr>
          <w:rFonts w:ascii="Calibri" w:eastAsia="Calibri" w:hAnsi="Calibri" w:cs="Calibri"/>
          <w:i/>
          <w:iCs/>
          <w:sz w:val="20"/>
          <w:szCs w:val="20"/>
        </w:rPr>
        <w:t>International Journal of Environmental Research and Public Health</w:t>
      </w:r>
      <w:r w:rsidRPr="00C27728">
        <w:rPr>
          <w:rFonts w:ascii="Calibri" w:eastAsia="Calibri" w:hAnsi="Calibri" w:cs="Calibri"/>
          <w:sz w:val="20"/>
          <w:szCs w:val="20"/>
        </w:rPr>
        <w:t>, </w:t>
      </w:r>
      <w:r w:rsidRPr="00C27728">
        <w:rPr>
          <w:rFonts w:ascii="Calibri" w:eastAsia="Calibri" w:hAnsi="Calibri" w:cs="Calibri"/>
          <w:i/>
          <w:iCs/>
          <w:sz w:val="20"/>
          <w:szCs w:val="20"/>
        </w:rPr>
        <w:t>17</w:t>
      </w:r>
      <w:r w:rsidRPr="00C27728">
        <w:rPr>
          <w:rFonts w:ascii="Calibri" w:eastAsia="Calibri" w:hAnsi="Calibri" w:cs="Calibri"/>
          <w:sz w:val="20"/>
          <w:szCs w:val="20"/>
        </w:rPr>
        <w:t>(20), 7685. https://doi.org/10.3390/ijerph17207685</w:t>
      </w:r>
    </w:p>
    <w:p w14:paraId="0A74487C" w14:textId="48E90EAB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</w:rPr>
      </w:pPr>
      <w:r w:rsidRPr="00C27728">
        <w:rPr>
          <w:rFonts w:ascii="Calibri" w:eastAsia="Calibri" w:hAnsi="Calibri" w:cs="Calibri"/>
          <w:sz w:val="20"/>
          <w:szCs w:val="20"/>
        </w:rPr>
        <w:t xml:space="preserve">Gunn, L., Kroen, A., De Gruyter, C., Higgs, C., Saghapour, T., </w:t>
      </w:r>
      <w:r w:rsidRPr="00C27728">
        <w:rPr>
          <w:rFonts w:ascii="Calibri" w:eastAsia="Calibri" w:hAnsi="Calibri" w:cs="Calibri"/>
          <w:b/>
          <w:sz w:val="20"/>
          <w:szCs w:val="20"/>
        </w:rPr>
        <w:t>Davern, M. (2020).</w:t>
      </w:r>
      <w:r w:rsidRPr="00C27728">
        <w:rPr>
          <w:rFonts w:ascii="Calibri" w:eastAsia="Calibri" w:hAnsi="Calibri" w:cs="Calibri"/>
          <w:sz w:val="20"/>
          <w:szCs w:val="20"/>
        </w:rPr>
        <w:t xml:space="preserve"> Early delivery of equitable and healthy transport options in new suburbs: policy, place and people. </w:t>
      </w:r>
      <w:r w:rsidRPr="00C27728">
        <w:rPr>
          <w:rFonts w:ascii="Calibri" w:eastAsia="Calibri" w:hAnsi="Calibri" w:cs="Calibri"/>
          <w:i/>
          <w:sz w:val="20"/>
          <w:szCs w:val="20"/>
        </w:rPr>
        <w:t>Journal of Transport and Health</w:t>
      </w:r>
      <w:r>
        <w:rPr>
          <w:rFonts w:ascii="Calibri" w:eastAsia="Calibri" w:hAnsi="Calibri" w:cs="Calibri"/>
          <w:sz w:val="20"/>
          <w:szCs w:val="20"/>
        </w:rPr>
        <w:t>.</w:t>
      </w:r>
      <w:r w:rsidRPr="00C27728">
        <w:rPr>
          <w:rFonts w:ascii="Calibri" w:eastAsia="Calibri" w:hAnsi="Calibri" w:cs="Calibri"/>
          <w:sz w:val="20"/>
          <w:szCs w:val="20"/>
        </w:rPr>
        <w:t xml:space="preserve"> https://doi.org/10.1016/j.jth.2020.100963    </w:t>
      </w:r>
    </w:p>
    <w:p w14:paraId="2A0D8641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hAnsi="Calibri" w:cs="Calibri"/>
          <w:b/>
          <w:sz w:val="20"/>
          <w:szCs w:val="20"/>
        </w:rPr>
      </w:pPr>
      <w:r w:rsidRPr="00C27728">
        <w:rPr>
          <w:rFonts w:ascii="Calibri" w:eastAsia="Calibri" w:hAnsi="Calibri" w:cs="Calibri"/>
          <w:sz w:val="20"/>
          <w:szCs w:val="20"/>
        </w:rPr>
        <w:t xml:space="preserve">Alderton, A., </w:t>
      </w:r>
      <w:r w:rsidRPr="00C27728">
        <w:rPr>
          <w:rFonts w:ascii="Calibri" w:eastAsia="Calibri" w:hAnsi="Calibri" w:cs="Calibri"/>
          <w:b/>
          <w:sz w:val="20"/>
          <w:szCs w:val="20"/>
        </w:rPr>
        <w:t>Davern, M.,</w:t>
      </w:r>
      <w:r w:rsidRPr="00C27728">
        <w:rPr>
          <w:rFonts w:ascii="Calibri" w:eastAsia="Calibri" w:hAnsi="Calibri" w:cs="Calibri"/>
          <w:sz w:val="20"/>
          <w:szCs w:val="20"/>
        </w:rPr>
        <w:t xml:space="preserve"> Nitvimol, K., Butterworth, I., Higgs, C., Ryan, E., &amp; Badland, H. (2019). What is the meaning of urban liveability for a city in a low-to-middle-income country? Contextualising liveability for Bangkok, Thailand. </w:t>
      </w:r>
      <w:r w:rsidRPr="00C27728">
        <w:rPr>
          <w:rFonts w:ascii="Calibri" w:eastAsia="Calibri" w:hAnsi="Calibri" w:cs="Calibri"/>
          <w:i/>
          <w:iCs/>
          <w:sz w:val="20"/>
          <w:szCs w:val="20"/>
        </w:rPr>
        <w:t>Globalization and Health, 15</w:t>
      </w:r>
      <w:r w:rsidRPr="00C27728">
        <w:rPr>
          <w:rFonts w:ascii="Calibri" w:eastAsia="Calibri" w:hAnsi="Calibri" w:cs="Calibri"/>
          <w:sz w:val="20"/>
          <w:szCs w:val="20"/>
        </w:rPr>
        <w:t>(1), 51. doi:10.1186/s12992-019-0484-8</w:t>
      </w:r>
    </w:p>
    <w:p w14:paraId="4432C861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  <w:lang w:val="en-US"/>
        </w:rPr>
      </w:pPr>
      <w:bookmarkStart w:id="5" w:name="_Hlk15661081"/>
      <w:bookmarkStart w:id="6" w:name="_Hlk72147625"/>
      <w:bookmarkEnd w:id="4"/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Mavoa, S., </w:t>
      </w:r>
      <w:r w:rsidRPr="00C27728">
        <w:rPr>
          <w:rFonts w:ascii="Calibri" w:eastAsia="Calibri" w:hAnsi="Calibri" w:cs="Calibri"/>
          <w:b/>
          <w:sz w:val="20"/>
          <w:szCs w:val="20"/>
          <w:lang w:val="en-US"/>
        </w:rPr>
        <w:t>Davern, M.,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 Breed, M., &amp; Hahs, A. (2019). Higher levels of greenness and biodiversity associate with greater subjective wellbeing in adults living in Melbourne, Australia. Health &amp; Place, 57, 321-329.</w:t>
      </w:r>
    </w:p>
    <w:bookmarkEnd w:id="5"/>
    <w:p w14:paraId="6B3DF904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i/>
          <w:sz w:val="20"/>
          <w:szCs w:val="20"/>
          <w:lang w:val="en-US"/>
        </w:rPr>
      </w:pP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Cui, Y., Christian, H., Russell, M. &amp; </w:t>
      </w:r>
      <w:r w:rsidRPr="00C27728">
        <w:rPr>
          <w:rFonts w:ascii="Calibri" w:eastAsia="Calibri" w:hAnsi="Calibri" w:cs="Calibri"/>
          <w:b/>
          <w:sz w:val="20"/>
          <w:szCs w:val="20"/>
          <w:lang w:val="en-US"/>
        </w:rPr>
        <w:t>Davern, M.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 (2019). Longitudinal evidence of the impact of dog ownership and dog walking on health. </w:t>
      </w:r>
      <w:r w:rsidRPr="00C27728">
        <w:rPr>
          <w:rFonts w:ascii="Calibri" w:eastAsia="Calibri" w:hAnsi="Calibri" w:cs="Calibri"/>
          <w:i/>
          <w:sz w:val="20"/>
          <w:szCs w:val="20"/>
          <w:lang w:val="en-US"/>
        </w:rPr>
        <w:t>American Journal of Public Health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r w:rsidRPr="00C27728">
        <w:rPr>
          <w:rFonts w:ascii="Calibri" w:eastAsia="Calibri" w:hAnsi="Calibri" w:cs="Calibri"/>
          <w:iCs/>
          <w:sz w:val="20"/>
          <w:szCs w:val="20"/>
          <w:lang w:val="en-US"/>
        </w:rPr>
        <w:t>https://doi.org/10.1093/pubmed/fdz094</w:t>
      </w:r>
    </w:p>
    <w:p w14:paraId="43870F1B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sz w:val="20"/>
          <w:szCs w:val="20"/>
          <w:lang w:val="en-US"/>
        </w:rPr>
      </w:pPr>
      <w:bookmarkStart w:id="7" w:name="_Hlk15661229"/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Browne, G.R., </w:t>
      </w:r>
      <w:r w:rsidRPr="00C27728">
        <w:rPr>
          <w:rFonts w:ascii="Calibri" w:eastAsia="Calibri" w:hAnsi="Calibri" w:cs="Calibri"/>
          <w:b/>
          <w:sz w:val="20"/>
          <w:szCs w:val="20"/>
          <w:lang w:val="en-US"/>
        </w:rPr>
        <w:t>Davern, M.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 &amp; Giles-Corti, B. (2019). ‘Punching above their weight’: a qualitative examination of local governments’ organizational efficacy to improve the social determinants of health.</w:t>
      </w:r>
      <w:r w:rsidRPr="00C27728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 w:rsidRPr="00C27728">
        <w:rPr>
          <w:rFonts w:ascii="Calibri" w:eastAsia="Calibri" w:hAnsi="Calibri" w:cs="Calibri"/>
          <w:i/>
          <w:iCs/>
          <w:sz w:val="20"/>
          <w:szCs w:val="20"/>
        </w:rPr>
        <w:t>Australian and New Zealand Journal of Public Health</w:t>
      </w:r>
      <w:r w:rsidRPr="00C27728">
        <w:rPr>
          <w:rFonts w:ascii="Calibri" w:eastAsia="Calibri" w:hAnsi="Calibri" w:cs="Calibri"/>
          <w:i/>
          <w:sz w:val="20"/>
          <w:szCs w:val="20"/>
        </w:rPr>
        <w:t>, </w:t>
      </w:r>
      <w:r w:rsidRPr="00C27728">
        <w:rPr>
          <w:rFonts w:ascii="Calibri" w:eastAsia="Calibri" w:hAnsi="Calibri" w:cs="Calibri"/>
          <w:iCs/>
          <w:sz w:val="20"/>
          <w:szCs w:val="20"/>
        </w:rPr>
        <w:t>43</w:t>
      </w:r>
      <w:r w:rsidRPr="00C27728">
        <w:rPr>
          <w:rFonts w:ascii="Calibri" w:eastAsia="Calibri" w:hAnsi="Calibri" w:cs="Calibri"/>
          <w:sz w:val="20"/>
          <w:szCs w:val="20"/>
        </w:rPr>
        <w:t>(1), 81-87.</w:t>
      </w:r>
    </w:p>
    <w:bookmarkEnd w:id="7"/>
    <w:p w14:paraId="2F5B5401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i/>
          <w:sz w:val="20"/>
          <w:szCs w:val="20"/>
          <w:lang w:val="en-US"/>
        </w:rPr>
      </w:pP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Nathan, A., Villanueva, K., Rozek, J., </w:t>
      </w:r>
      <w:r w:rsidRPr="00C27728">
        <w:rPr>
          <w:rFonts w:ascii="Calibri" w:eastAsia="Calibri" w:hAnsi="Calibri" w:cs="Calibri"/>
          <w:b/>
          <w:sz w:val="20"/>
          <w:szCs w:val="20"/>
          <w:lang w:val="en-US"/>
        </w:rPr>
        <w:t>Davern, M.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, Gunn, L., Trapp, G., Boulange, C. &amp; Christian, H. (2018). The Role of the Built Environment on Health Across the Life Course: A Call for CollaborACTION. </w:t>
      </w:r>
      <w:r w:rsidRPr="00C27728">
        <w:rPr>
          <w:rFonts w:ascii="Calibri" w:eastAsia="Calibri" w:hAnsi="Calibri" w:cs="Calibri"/>
          <w:i/>
          <w:sz w:val="20"/>
          <w:szCs w:val="20"/>
          <w:lang w:val="en-US"/>
        </w:rPr>
        <w:t xml:space="preserve">American Journal of Health Promotion, 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32(6), 1460-1468. </w:t>
      </w:r>
    </w:p>
    <w:p w14:paraId="21CC0FFE" w14:textId="77777777" w:rsidR="00C27728" w:rsidRPr="00C27728" w:rsidRDefault="00C27728" w:rsidP="00C27728">
      <w:pPr>
        <w:numPr>
          <w:ilvl w:val="0"/>
          <w:numId w:val="6"/>
        </w:numPr>
        <w:tabs>
          <w:tab w:val="left" w:pos="0"/>
        </w:tabs>
        <w:jc w:val="both"/>
        <w:rPr>
          <w:rFonts w:ascii="Calibri" w:eastAsia="Calibri" w:hAnsi="Calibri" w:cs="Calibri"/>
          <w:i/>
          <w:sz w:val="20"/>
          <w:szCs w:val="20"/>
          <w:lang w:val="en-US"/>
        </w:rPr>
      </w:pPr>
      <w:bookmarkStart w:id="8" w:name="_Hlk15661287"/>
      <w:r w:rsidRPr="00C27728">
        <w:rPr>
          <w:rFonts w:ascii="Calibri" w:eastAsia="Calibri" w:hAnsi="Calibri" w:cs="Calibri"/>
          <w:b/>
          <w:sz w:val="20"/>
          <w:szCs w:val="20"/>
          <w:lang w:val="en-US"/>
        </w:rPr>
        <w:t>Davern, M.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 xml:space="preserve">, Gunn, L., Whitzman, C., Higgs, C., Giles-Corti, B., Simons, K., Villenaueva, K., Mavoa, S., Roberts, R. &amp; Badland, H. (2018). Using spatial measures to test a conceptual model of social infrastructure that supports health and wellbeing. </w:t>
      </w:r>
      <w:r w:rsidRPr="00C27728">
        <w:rPr>
          <w:rFonts w:ascii="Calibri" w:eastAsia="Calibri" w:hAnsi="Calibri" w:cs="Calibri"/>
          <w:i/>
          <w:sz w:val="20"/>
          <w:szCs w:val="20"/>
          <w:lang w:val="en-US"/>
        </w:rPr>
        <w:t>Cities &amp; Health</w:t>
      </w:r>
      <w:r w:rsidRPr="00C27728">
        <w:rPr>
          <w:rFonts w:ascii="Calibri" w:eastAsia="Calibri" w:hAnsi="Calibri" w:cs="Calibri"/>
          <w:sz w:val="20"/>
          <w:szCs w:val="20"/>
          <w:lang w:val="en-US"/>
        </w:rPr>
        <w:t>, March 13, 1-16.</w:t>
      </w:r>
    </w:p>
    <w:bookmarkEnd w:id="6"/>
    <w:bookmarkEnd w:id="8"/>
    <w:p w14:paraId="18413B85" w14:textId="0DF9633B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33607F37" w14:textId="17FD1DFA" w:rsid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08B77625" w14:textId="27FDCBCB" w:rsidR="00C27728" w:rsidRPr="00C27728" w:rsidRDefault="00C27728" w:rsidP="00C27728">
      <w:pPr>
        <w:tabs>
          <w:tab w:val="left" w:pos="5954"/>
        </w:tabs>
        <w:rPr>
          <w:rFonts w:ascii="Calibri" w:hAnsi="Calibri" w:cs="Arial"/>
          <w:b/>
          <w:bCs/>
          <w:i/>
          <w:sz w:val="20"/>
          <w:szCs w:val="20"/>
        </w:rPr>
      </w:pPr>
    </w:p>
    <w:p w14:paraId="0F93C805" w14:textId="77777777" w:rsidR="00C27728" w:rsidRPr="00C23DD9" w:rsidRDefault="00C27728" w:rsidP="00C27728">
      <w:pPr>
        <w:tabs>
          <w:tab w:val="left" w:pos="5954"/>
        </w:tabs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Research Quality </w:t>
      </w:r>
    </w:p>
    <w:p w14:paraId="3C4F53BD" w14:textId="77777777" w:rsidR="00C27728" w:rsidRDefault="00C27728" w:rsidP="00C27728">
      <w:pPr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621B28">
        <w:rPr>
          <w:rFonts w:ascii="Calibri" w:hAnsi="Calibri" w:cs="Arial"/>
          <w:sz w:val="20"/>
          <w:szCs w:val="20"/>
        </w:rPr>
        <w:t>Peer Reviewed Journal Articles</w:t>
      </w:r>
      <w:r>
        <w:rPr>
          <w:rFonts w:ascii="Calibri" w:hAnsi="Calibri" w:cs="Arial"/>
          <w:sz w:val="20"/>
          <w:szCs w:val="20"/>
        </w:rPr>
        <w:t>: (</w:t>
      </w:r>
      <w:r>
        <w:rPr>
          <w:rFonts w:ascii="Calibri" w:hAnsi="Calibri" w:cs="Arial"/>
          <w:i/>
          <w:sz w:val="20"/>
          <w:szCs w:val="20"/>
        </w:rPr>
        <w:t>number =</w:t>
      </w:r>
      <w:r w:rsidRPr="002F2E00">
        <w:rPr>
          <w:rFonts w:ascii="Calibri" w:hAnsi="Calibri" w:cs="Arial"/>
          <w:i/>
          <w:sz w:val="20"/>
          <w:szCs w:val="20"/>
        </w:rPr>
        <w:t xml:space="preserve"> </w:t>
      </w:r>
      <w:r>
        <w:rPr>
          <w:rFonts w:ascii="Calibri" w:hAnsi="Calibri" w:cs="Arial"/>
          <w:i/>
          <w:sz w:val="20"/>
          <w:szCs w:val="20"/>
        </w:rPr>
        <w:t>40</w:t>
      </w:r>
      <w:r>
        <w:rPr>
          <w:rFonts w:ascii="Calibri" w:hAnsi="Calibri" w:cs="Arial"/>
          <w:sz w:val="20"/>
          <w:szCs w:val="20"/>
        </w:rPr>
        <w:t>),</w:t>
      </w:r>
      <w:r w:rsidRPr="00621EA4">
        <w:rPr>
          <w:rFonts w:ascii="Calibri" w:hAnsi="Calibri" w:cs="Arial"/>
          <w:i/>
          <w:sz w:val="20"/>
          <w:szCs w:val="20"/>
        </w:rPr>
        <w:t xml:space="preserve"> h-index: 20, since 2015= 15; i10-index: 33, since 2015 =25.</w:t>
      </w:r>
    </w:p>
    <w:p w14:paraId="336D1F7D" w14:textId="77777777" w:rsidR="00C27728" w:rsidRPr="00F46CDC" w:rsidRDefault="00C27728" w:rsidP="00C27728">
      <w:pPr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Board Member Community Indicators Consortium, USA</w:t>
      </w:r>
    </w:p>
    <w:p w14:paraId="7C5DD6AC" w14:textId="77777777" w:rsidR="00C27728" w:rsidRPr="00F46CDC" w:rsidRDefault="00C27728" w:rsidP="00C27728">
      <w:pPr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Special Editor Sustainability 2018</w:t>
      </w:r>
    </w:p>
    <w:p w14:paraId="370183A3" w14:textId="77777777" w:rsidR="00C27728" w:rsidRPr="000570D6" w:rsidRDefault="00C27728" w:rsidP="00C27728">
      <w:pPr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Special Editor International Journal of Community Wellbeing 2019</w:t>
      </w:r>
    </w:p>
    <w:p w14:paraId="0EBF6431" w14:textId="050EC8AD" w:rsidR="00C27728" w:rsidRPr="00C27728" w:rsidRDefault="00C27728" w:rsidP="00C27728">
      <w:pPr>
        <w:numPr>
          <w:ilvl w:val="0"/>
          <w:numId w:val="1"/>
        </w:numPr>
        <w:rPr>
          <w:rFonts w:ascii="Calibri" w:hAnsi="Calibri" w:cs="Arial"/>
          <w:i/>
          <w:sz w:val="20"/>
          <w:szCs w:val="20"/>
        </w:rPr>
      </w:pPr>
      <w:r w:rsidRPr="00C27728">
        <w:rPr>
          <w:rFonts w:ascii="Calibri" w:hAnsi="Calibri" w:cs="Arial"/>
          <w:sz w:val="20"/>
          <w:szCs w:val="20"/>
        </w:rPr>
        <w:t>Peer review for over 16 public health and urban planning journals</w:t>
      </w:r>
    </w:p>
    <w:sectPr w:rsidR="00C27728" w:rsidRPr="00C277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CA63E" w14:textId="77777777" w:rsidR="009D2F99" w:rsidRDefault="009D2F99" w:rsidP="00C4714C">
      <w:r>
        <w:separator/>
      </w:r>
    </w:p>
  </w:endnote>
  <w:endnote w:type="continuationSeparator" w:id="0">
    <w:p w14:paraId="0014AC2F" w14:textId="77777777" w:rsidR="009D2F99" w:rsidRDefault="009D2F99" w:rsidP="00C4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274B0" w14:textId="77777777" w:rsidR="003A46FC" w:rsidRDefault="003A4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BEF70" w14:textId="77777777" w:rsidR="003A46FC" w:rsidRDefault="003A4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79452" w14:textId="77777777" w:rsidR="003A46FC" w:rsidRDefault="003A4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827A" w14:textId="77777777" w:rsidR="009D2F99" w:rsidRDefault="009D2F99" w:rsidP="00C4714C">
      <w:r>
        <w:separator/>
      </w:r>
    </w:p>
  </w:footnote>
  <w:footnote w:type="continuationSeparator" w:id="0">
    <w:p w14:paraId="05989341" w14:textId="77777777" w:rsidR="009D2F99" w:rsidRDefault="009D2F99" w:rsidP="00C47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AF082" w14:textId="77777777" w:rsidR="003A46FC" w:rsidRDefault="003A4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1AB12" w14:textId="38BA66BA" w:rsidR="00C4714C" w:rsidRDefault="00C471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03CB87" wp14:editId="0F71841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9aa42c6832bb56412da3be3" descr="{&quot;HashCode&quot;:161074613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D39FB8" w14:textId="0BE0AD39" w:rsidR="00C4714C" w:rsidRPr="00C4714C" w:rsidRDefault="00C4714C" w:rsidP="00C4714C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3CB87" id="_x0000_t202" coordsize="21600,21600" o:spt="202" path="m,l,21600r21600,l21600,xe">
              <v:stroke joinstyle="miter"/>
              <v:path gradientshapeok="t" o:connecttype="rect"/>
            </v:shapetype>
            <v:shape id="MSIPCM19aa42c6832bb56412da3be3" o:spid="_x0000_s1026" type="#_x0000_t202" alt="{&quot;HashCode&quot;:161074613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" o:allowincell="f" filled="f" stroked="f" strokeweight=".5pt">
              <v:textbox inset=",0,,0">
                <w:txbxContent>
                  <w:p w14:paraId="10D39FB8" w14:textId="0BE0AD39" w:rsidR="00C4714C" w:rsidRPr="00C4714C" w:rsidRDefault="00C4714C" w:rsidP="00C4714C">
                    <w:pPr>
                      <w:jc w:val="center"/>
                      <w:rPr>
                        <w:rFonts w:ascii="Calibri" w:hAnsi="Calibri" w:cs="Calibri"/>
                        <w:color w:val="EEDC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D8044" w14:textId="77777777" w:rsidR="003A46FC" w:rsidRDefault="003A4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3969"/>
    <w:multiLevelType w:val="hybridMultilevel"/>
    <w:tmpl w:val="28883E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606F4"/>
    <w:multiLevelType w:val="hybridMultilevel"/>
    <w:tmpl w:val="9E26A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80493"/>
    <w:multiLevelType w:val="hybridMultilevel"/>
    <w:tmpl w:val="B44C4F32"/>
    <w:lvl w:ilvl="0" w:tplc="51BA9D70">
      <w:start w:val="1"/>
      <w:numFmt w:val="decimal"/>
      <w:lvlText w:val="J%1."/>
      <w:lvlJc w:val="left"/>
      <w:pPr>
        <w:tabs>
          <w:tab w:val="num" w:pos="435"/>
        </w:tabs>
        <w:ind w:left="435" w:hanging="43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E43982"/>
    <w:multiLevelType w:val="hybridMultilevel"/>
    <w:tmpl w:val="D73CC8BA"/>
    <w:lvl w:ilvl="0" w:tplc="0C09000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513111"/>
    <w:multiLevelType w:val="hybridMultilevel"/>
    <w:tmpl w:val="3A80D1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67A46"/>
    <w:multiLevelType w:val="hybridMultilevel"/>
    <w:tmpl w:val="A16C3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NjMyNzYzNjQxtLRU0lEKTi0uzszPAykwqgUA1vVI2iwAAAA="/>
  </w:docVars>
  <w:rsids>
    <w:rsidRoot w:val="000B4415"/>
    <w:rsid w:val="00002D57"/>
    <w:rsid w:val="000570D6"/>
    <w:rsid w:val="000B4415"/>
    <w:rsid w:val="000F74EE"/>
    <w:rsid w:val="001E154F"/>
    <w:rsid w:val="002B6025"/>
    <w:rsid w:val="003A46FC"/>
    <w:rsid w:val="003C0850"/>
    <w:rsid w:val="003D125D"/>
    <w:rsid w:val="00486B7F"/>
    <w:rsid w:val="004B6576"/>
    <w:rsid w:val="005001E6"/>
    <w:rsid w:val="00517B4C"/>
    <w:rsid w:val="005E45A7"/>
    <w:rsid w:val="005F03FD"/>
    <w:rsid w:val="0061392E"/>
    <w:rsid w:val="00621EA4"/>
    <w:rsid w:val="00674B2C"/>
    <w:rsid w:val="006A6E04"/>
    <w:rsid w:val="007B0599"/>
    <w:rsid w:val="007D3DDC"/>
    <w:rsid w:val="007D72B9"/>
    <w:rsid w:val="008C31CE"/>
    <w:rsid w:val="009B2869"/>
    <w:rsid w:val="009D2F99"/>
    <w:rsid w:val="00A86664"/>
    <w:rsid w:val="00B125F2"/>
    <w:rsid w:val="00C23DD9"/>
    <w:rsid w:val="00C27728"/>
    <w:rsid w:val="00C4714C"/>
    <w:rsid w:val="00C77B68"/>
    <w:rsid w:val="00DD562C"/>
    <w:rsid w:val="00E051DA"/>
    <w:rsid w:val="00E36A2D"/>
    <w:rsid w:val="00EA3AA8"/>
    <w:rsid w:val="00F4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53051"/>
  <w15:chartTrackingRefBased/>
  <w15:docId w15:val="{F5AA18CB-767F-487F-83D9-35447359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15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8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69"/>
    <w:rPr>
      <w:rFonts w:ascii="Segoe UI" w:eastAsia="Times New Roman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471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4C"/>
    <w:rPr>
      <w:rFonts w:ascii="Arial" w:eastAsia="Times New Roman" w:hAnsi="Arial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471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4C"/>
    <w:rPr>
      <w:rFonts w:ascii="Arial" w:eastAsia="Times New Roman" w:hAnsi="Arial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C2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auo.org.a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7D7DF6BD8C04584D6F84B2540823E" ma:contentTypeVersion="10" ma:contentTypeDescription="Create a new document." ma:contentTypeScope="" ma:versionID="be9a0942164111e27c769fa203c03def">
  <xsd:schema xmlns:xsd="http://www.w3.org/2001/XMLSchema" xmlns:xs="http://www.w3.org/2001/XMLSchema" xmlns:p="http://schemas.microsoft.com/office/2006/metadata/properties" xmlns:ns3="1926fca6-be9b-4758-97d7-4eea08712fed" targetNamespace="http://schemas.microsoft.com/office/2006/metadata/properties" ma:root="true" ma:fieldsID="20bf4edf6229a0eaf126bf3c8cf82b3a" ns3:_="">
    <xsd:import namespace="1926fca6-be9b-4758-97d7-4eea08712f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6fca6-be9b-4758-97d7-4eea08712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D41664-08EF-4713-9B71-EC04F4369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4816F-BAFD-4DE1-93E2-2F30BC683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8840B-4F15-49AA-99A0-9F4466E46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6fca6-be9b-4758-97d7-4eea08712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Briena Barrett</dc:creator>
  <cp:keywords/>
  <dc:description/>
  <cp:lastModifiedBy>Melanie Davern</cp:lastModifiedBy>
  <cp:revision>3</cp:revision>
  <dcterms:created xsi:type="dcterms:W3CDTF">2022-04-07T01:50:00Z</dcterms:created>
  <dcterms:modified xsi:type="dcterms:W3CDTF">2022-04-07T01:52:00Z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0x010100D767D7DF6BD8C04584D6F84B2540823E</vt:lpwstr>
  </property>
  <property fmtid="{D5CDD505-2E9C-101B-9397-08002B2CF9AE}" pid="3" name="MSIP_Label_1b52b3a1-dbcb-41fb-a452-370cf542753f_Enabled">
    <vt:lpwstr>true</vt:lpwstr>
  </property>
  <property fmtid="{D5CDD505-2E9C-101B-9397-08002B2CF9AE}" pid="4" name="MSIP_Label_1b52b3a1-dbcb-41fb-a452-370cf542753f_SetDate">
    <vt:lpwstr>2022-04-07T01:24:39Z</vt:lpwstr>
  </property>
  <property fmtid="{D5CDD505-2E9C-101B-9397-08002B2CF9AE}" pid="5" name="MSIP_Label_1b52b3a1-dbcb-41fb-a452-370cf542753f_Method">
    <vt:lpwstr>Privileged</vt:lpwstr>
  </property>
  <property fmtid="{D5CDD505-2E9C-101B-9397-08002B2CF9AE}" pid="6" name="MSIP_Label_1b52b3a1-dbcb-41fb-a452-370cf542753f_Name">
    <vt:lpwstr>Public</vt:lpwstr>
  </property>
  <property fmtid="{D5CDD505-2E9C-101B-9397-08002B2CF9AE}" pid="7" name="MSIP_Label_1b52b3a1-dbcb-41fb-a452-370cf542753f_SiteId">
    <vt:lpwstr>d1323671-cdbe-4417-b4d4-bdb24b51316b</vt:lpwstr>
  </property>
  <property fmtid="{D5CDD505-2E9C-101B-9397-08002B2CF9AE}" pid="8" name="MSIP_Label_1b52b3a1-dbcb-41fb-a452-370cf542753f_ActionId">
    <vt:lpwstr>764fd256-0f86-48ec-826b-00005e6bb8df</vt:lpwstr>
  </property>
  <property fmtid="{D5CDD505-2E9C-101B-9397-08002B2CF9AE}" pid="9" name="MSIP_Label_1b52b3a1-dbcb-41fb-a452-370cf542753f_ContentBits">
    <vt:lpwstr>0</vt:lpwstr>
  </property>
</Properties>
</file>