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Biography page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Monday 20 June,</w:t>
      </w:r>
      <w:r w:rsidDel="00000000" w:rsidR="00000000" w:rsidRPr="00000000">
        <w:rPr>
          <w:rtl w:val="0"/>
        </w:rPr>
        <w:t xml:space="preserve">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4iu0pdiqdxuf" w:id="2"/>
      <w:bookmarkEnd w:id="2"/>
      <w:r w:rsidDel="00000000" w:rsidR="00000000" w:rsidRPr="00000000">
        <w:rPr>
          <w:rtl w:val="0"/>
        </w:rPr>
        <w:t xml:space="preserve">Biography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bio pages contain profiles for the executive team, as well as links to key related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bar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Breadcrumbs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(optional)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