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Org chart page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4iu0pdiqdxuf" w:id="2"/>
      <w:bookmarkEnd w:id="2"/>
      <w:r w:rsidDel="00000000" w:rsidR="00000000" w:rsidRPr="00000000">
        <w:rPr>
          <w:rtl w:val="0"/>
        </w:rPr>
        <w:t xml:space="preserve">Org chart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org chart page simply displays small bio cards for key roles within the department. It acts as a snapshot and directory to biography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Background (coloured)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BIo card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card container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lineRule="auto"/>
        <w:rPr>
          <w:sz w:val="20"/>
          <w:szCs w:val="20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lineRule="auto"/>
        <w:rPr>
          <w:color w:val="211d1e"/>
          <w:sz w:val="17"/>
          <w:szCs w:val="17"/>
          <w:highlight w:val="yellow"/>
        </w:rPr>
      </w:pPr>
      <w:bookmarkStart w:colFirst="0" w:colLast="0" w:name="_wf7upu9fldyk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