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jc w:val="center"/>
      </w:pPr>
      <w:r>
        <w:rPr>
          <w:rFonts w:ascii="Arial Unicode MS" w:hAnsi="Arial Unicode MS" w:eastAsia="Arial Unicode MS"/>
          <w:b/>
          <w:color w:val="000000"/>
          <w:sz w:val="60"/>
        </w:rPr>
        <w:t>重明图服务技术说明书</w:t>
      </w:r>
    </w:p>
    <w:p>
      <w:pPr>
        <w:spacing w:before="240" w:after="560"/>
        <w:jc w:val="center"/>
      </w:pPr>
      <w:r>
        <w:rPr>
          <w:rFonts w:ascii="Arial Unicode MS" w:hAnsi="Arial Unicode MS" w:eastAsia="Arial Unicode MS"/>
          <w:color w:val="000000"/>
          <w:sz w:val="28"/>
        </w:rPr>
        <w:t>Graph API  Host  DSH 工作适配器</w:t>
      </w:r>
    </w:p>
    <w:p>
      <w:pPr>
        <w:spacing w:after="600"/>
        <w:ind w:left="1134" w:right="1134"/>
        <w:jc w:val="center"/>
      </w:pPr>
      <w:r>
        <w:rPr>
          <w:rFonts w:ascii="Arial Unicode MS" w:hAnsi="Arial Unicode MS" w:eastAsia="Arial Unicode MS"/>
          <w:color w:val="263238"/>
          <w:sz w:val="22"/>
        </w:rPr>
        <w:t>面向研发、维护、联调与架构理解，说明数据图、权限、多 Host 调度、DSH 执行、人工审核及资产一致性机制。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167D80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文档信息</w:t>
            </w:r>
          </w:p>
        </w:tc>
        <w:tc>
          <w:tcPr>
            <w:tcW w:type="dxa" w:w="4819"/>
            <w:tcMar>
              <w:top w:w="110" w:type="dxa"/>
              <w:start w:w="130" w:type="dxa"/>
              <w:bottom w:w="110" w:type="dxa"/>
              <w:end w:w="130" w:type="dxa"/>
            </w:tcMar>
            <w:shd w:fill="167D80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22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8F8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63238"/>
                <w:sz w:val="21"/>
              </w:rPr>
              <w:t>源码分支</w:t>
            </w:r>
          </w:p>
        </w:tc>
        <w:tc>
          <w:tcPr>
            <w:tcW w:type="dxa" w:w="566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8"/>
                <w:noProof/>
              </w:rPr>
              <w:t>codex/run-review-core</w:t>
            </w:r>
          </w:p>
        </w:tc>
      </w:tr>
      <w:tr>
        <w:tc>
          <w:tcPr>
            <w:tcW w:type="dxa" w:w="22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8F8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63238"/>
                <w:sz w:val="21"/>
              </w:rPr>
              <w:t>源码基线</w:t>
            </w:r>
          </w:p>
        </w:tc>
        <w:tc>
          <w:tcPr>
            <w:tcW w:type="dxa" w:w="566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8"/>
                <w:noProof/>
              </w:rPr>
              <w:t>b5b6df5af5367b1147f0311c6fe96f1cf0fbf903</w:t>
            </w:r>
          </w:p>
        </w:tc>
      </w:tr>
      <w:tr>
        <w:tc>
          <w:tcPr>
            <w:tcW w:type="dxa" w:w="22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8F8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63238"/>
                <w:sz w:val="21"/>
              </w:rPr>
              <w:t>文档日期</w:t>
            </w:r>
          </w:p>
        </w:tc>
        <w:tc>
          <w:tcPr>
            <w:tcW w:type="dxa" w:w="5669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21"/>
              </w:rPr>
              <w:t>2026 年 9 月 12 日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目录</w:t>
      </w:r>
    </w:p>
    <w:p>
      <w:pPr>
        <w:keepLines/>
        <w:spacing w:after="60"/>
        <w:ind w:left="0"/>
      </w:pPr>
      <w:r>
        <w:rPr>
          <w:rFonts w:ascii="Arial Unicode MS" w:hAnsi="Arial Unicode MS" w:eastAsia="Arial Unicode MS"/>
          <w:b/>
          <w:color w:val="000000"/>
          <w:sz w:val="22"/>
        </w:rPr>
        <w:t>1. 服务概述</w:t>
      </w:r>
    </w:p>
    <w:p>
      <w:pPr>
        <w:keepLines/>
        <w:spacing w:after="60"/>
        <w:ind w:left="0"/>
      </w:pPr>
      <w:r>
        <w:rPr>
          <w:rFonts w:ascii="Arial Unicode MS" w:hAnsi="Arial Unicode MS" w:eastAsia="Arial Unicode MS"/>
          <w:b/>
          <w:color w:val="000000"/>
          <w:sz w:val="22"/>
        </w:rPr>
        <w:t>2. 用例视角</w:t>
      </w:r>
    </w:p>
    <w:p>
      <w:pPr>
        <w:keepLines/>
        <w:spacing w:after="60"/>
        <w:ind w:left="0"/>
      </w:pPr>
      <w:r>
        <w:rPr>
          <w:rFonts w:ascii="Arial Unicode MS" w:hAnsi="Arial Unicode MS" w:eastAsia="Arial Unicode MS"/>
          <w:b/>
          <w:color w:val="000000"/>
          <w:sz w:val="22"/>
        </w:rPr>
        <w:t>3. 接口与服务通信</w:t>
      </w:r>
    </w:p>
    <w:p>
      <w:pPr>
        <w:keepLines/>
        <w:spacing w:after="60"/>
        <w:ind w:left="425"/>
      </w:pPr>
      <w:r>
        <w:rPr>
          <w:rFonts w:ascii="Arial Unicode MS" w:hAnsi="Arial Unicode MS" w:eastAsia="Arial Unicode MS"/>
          <w:b w:val="0"/>
          <w:color w:val="000000"/>
          <w:sz w:val="20"/>
        </w:rPr>
        <w:t>3.1 HTTP API</w:t>
      </w:r>
    </w:p>
    <w:p>
      <w:pPr>
        <w:keepLines/>
        <w:spacing w:after="60"/>
        <w:ind w:left="425"/>
      </w:pPr>
      <w:r>
        <w:rPr>
          <w:rFonts w:ascii="Arial Unicode MS" w:hAnsi="Arial Unicode MS" w:eastAsia="Arial Unicode MS"/>
          <w:b w:val="0"/>
          <w:color w:val="000000"/>
          <w:sz w:val="20"/>
        </w:rPr>
        <w:t>3.2 内部 Host/DSH 接口</w:t>
      </w:r>
    </w:p>
    <w:p>
      <w:pPr>
        <w:keepLines/>
        <w:spacing w:after="60"/>
        <w:ind w:left="425"/>
      </w:pPr>
      <w:r>
        <w:rPr>
          <w:rFonts w:ascii="Arial Unicode MS" w:hAnsi="Arial Unicode MS" w:eastAsia="Arial Unicode MS"/>
          <w:b w:val="0"/>
          <w:color w:val="000000"/>
          <w:sz w:val="20"/>
        </w:rPr>
        <w:t>3.3 其他通信</w:t>
      </w:r>
    </w:p>
    <w:p>
      <w:pPr>
        <w:keepLines/>
        <w:spacing w:after="60"/>
        <w:ind w:left="0"/>
      </w:pPr>
      <w:r>
        <w:rPr>
          <w:rFonts w:ascii="Arial Unicode MS" w:hAnsi="Arial Unicode MS" w:eastAsia="Arial Unicode MS"/>
          <w:b/>
          <w:color w:val="000000"/>
          <w:sz w:val="22"/>
        </w:rPr>
        <w:t>4. 用例运行机制</w:t>
      </w:r>
    </w:p>
    <w:p>
      <w:pPr>
        <w:keepLines/>
        <w:spacing w:after="60"/>
        <w:ind w:left="425"/>
      </w:pPr>
      <w:r>
        <w:rPr>
          <w:rFonts w:ascii="Arial Unicode MS" w:hAnsi="Arial Unicode MS" w:eastAsia="Arial Unicode MS"/>
          <w:b w:val="0"/>
          <w:color w:val="000000"/>
          <w:sz w:val="20"/>
        </w:rPr>
        <w:t>4.1 登录并恢复工作上下文</w:t>
      </w:r>
    </w:p>
    <w:p>
      <w:pPr>
        <w:keepLines/>
        <w:spacing w:after="60"/>
        <w:ind w:left="425"/>
      </w:pPr>
      <w:r>
        <w:rPr>
          <w:rFonts w:ascii="Arial Unicode MS" w:hAnsi="Arial Unicode MS" w:eastAsia="Arial Unicode MS"/>
          <w:b w:val="0"/>
          <w:color w:val="000000"/>
          <w:sz w:val="20"/>
        </w:rPr>
        <w:t>4.2 治理 Workspace、成员、Agent 和共享设置</w:t>
      </w:r>
    </w:p>
    <w:p>
      <w:pPr>
        <w:keepLines/>
        <w:spacing w:after="60"/>
        <w:ind w:left="425"/>
      </w:pPr>
      <w:r>
        <w:rPr>
          <w:rFonts w:ascii="Arial Unicode MS" w:hAnsi="Arial Unicode MS" w:eastAsia="Arial Unicode MS"/>
          <w:b w:val="0"/>
          <w:color w:val="000000"/>
          <w:sz w:val="20"/>
        </w:rPr>
        <w:t>4.3 建立和维护事实数据图</w:t>
      </w:r>
    </w:p>
    <w:p>
      <w:pPr>
        <w:keepLines/>
        <w:spacing w:after="60"/>
        <w:ind w:left="425"/>
      </w:pPr>
      <w:r>
        <w:rPr>
          <w:rFonts w:ascii="Arial Unicode MS" w:hAnsi="Arial Unicode MS" w:eastAsia="Arial Unicode MS"/>
          <w:b w:val="0"/>
          <w:color w:val="000000"/>
          <w:sz w:val="20"/>
        </w:rPr>
        <w:t>4.4 动态多角度核查</w:t>
      </w:r>
    </w:p>
    <w:p>
      <w:pPr>
        <w:keepLines/>
        <w:spacing w:after="60"/>
        <w:ind w:left="425"/>
      </w:pPr>
      <w:r>
        <w:rPr>
          <w:rFonts w:ascii="Arial Unicode MS" w:hAnsi="Arial Unicode MS" w:eastAsia="Arial Unicode MS"/>
          <w:b w:val="0"/>
          <w:color w:val="000000"/>
          <w:sz w:val="20"/>
        </w:rPr>
        <w:t>4.5 管理可追溯资产</w:t>
      </w:r>
    </w:p>
    <w:p>
      <w:pPr>
        <w:keepLines/>
        <w:spacing w:after="60"/>
        <w:ind w:left="425"/>
      </w:pPr>
      <w:r>
        <w:rPr>
          <w:rFonts w:ascii="Arial Unicode MS" w:hAnsi="Arial Unicode MS" w:eastAsia="Arial Unicode MS"/>
          <w:b w:val="0"/>
          <w:color w:val="000000"/>
          <w:sz w:val="20"/>
        </w:rPr>
        <w:t>4.6 导出和导入可移植 Workspace</w:t>
      </w:r>
    </w:p>
    <w:p>
      <w:pPr>
        <w:keepLines/>
        <w:spacing w:after="60"/>
        <w:ind w:left="0"/>
      </w:pPr>
      <w:r>
        <w:rPr>
          <w:rFonts w:ascii="Arial Unicode MS" w:hAnsi="Arial Unicode MS" w:eastAsia="Arial Unicode MS"/>
          <w:b/>
          <w:color w:val="000000"/>
          <w:sz w:val="22"/>
        </w:rPr>
        <w:t>5. 横切技术机制</w:t>
      </w:r>
    </w:p>
    <w:p>
      <w:pPr>
        <w:keepLines/>
        <w:spacing w:after="60"/>
        <w:ind w:left="425"/>
      </w:pPr>
      <w:r>
        <w:rPr>
          <w:rFonts w:ascii="Arial Unicode MS" w:hAnsi="Arial Unicode MS" w:eastAsia="Arial Unicode MS"/>
          <w:b w:val="0"/>
          <w:color w:val="000000"/>
          <w:sz w:val="20"/>
        </w:rPr>
        <w:t>5.1 身份与资源归属</w:t>
      </w:r>
    </w:p>
    <w:p>
      <w:pPr>
        <w:keepLines/>
        <w:spacing w:after="60"/>
        <w:ind w:left="425"/>
      </w:pPr>
      <w:r>
        <w:rPr>
          <w:rFonts w:ascii="Arial Unicode MS" w:hAnsi="Arial Unicode MS" w:eastAsia="Arial Unicode MS"/>
          <w:b w:val="0"/>
          <w:color w:val="000000"/>
          <w:sz w:val="20"/>
        </w:rPr>
        <w:t>5.2 幂等与并发</w:t>
      </w:r>
    </w:p>
    <w:p>
      <w:pPr>
        <w:keepLines/>
        <w:spacing w:after="60"/>
        <w:ind w:left="425"/>
      </w:pPr>
      <w:r>
        <w:rPr>
          <w:rFonts w:ascii="Arial Unicode MS" w:hAnsi="Arial Unicode MS" w:eastAsia="Arial Unicode MS"/>
          <w:b w:val="0"/>
          <w:color w:val="000000"/>
          <w:sz w:val="20"/>
        </w:rPr>
        <w:t>5.3 事务与补偿</w:t>
      </w:r>
    </w:p>
    <w:p>
      <w:pPr>
        <w:keepLines/>
        <w:spacing w:after="60"/>
        <w:ind w:left="425"/>
      </w:pPr>
      <w:r>
        <w:rPr>
          <w:rFonts w:ascii="Arial Unicode MS" w:hAnsi="Arial Unicode MS" w:eastAsia="Arial Unicode MS"/>
          <w:b w:val="0"/>
          <w:color w:val="000000"/>
          <w:sz w:val="20"/>
        </w:rPr>
        <w:t>5.4 输入与敏感信息</w:t>
      </w:r>
    </w:p>
    <w:p>
      <w:pPr>
        <w:keepLines/>
        <w:spacing w:after="60"/>
        <w:ind w:left="425"/>
      </w:pPr>
      <w:r>
        <w:rPr>
          <w:rFonts w:ascii="Arial Unicode MS" w:hAnsi="Arial Unicode MS" w:eastAsia="Arial Unicode MS"/>
          <w:b w:val="0"/>
          <w:color w:val="000000"/>
          <w:sz w:val="20"/>
        </w:rPr>
        <w:t>5.5 错误与恢复</w:t>
      </w:r>
    </w:p>
    <w:p>
      <w:pPr>
        <w:keepLines/>
        <w:spacing w:after="60"/>
        <w:ind w:left="0"/>
      </w:pPr>
      <w:r>
        <w:rPr>
          <w:rFonts w:ascii="Arial Unicode MS" w:hAnsi="Arial Unicode MS" w:eastAsia="Arial Unicode MS"/>
          <w:b/>
          <w:color w:val="000000"/>
          <w:sz w:val="22"/>
        </w:rPr>
        <w:t>6. 部署与运行</w:t>
      </w:r>
    </w:p>
    <w:p>
      <w:pPr>
        <w:keepLines/>
        <w:spacing w:after="60"/>
        <w:ind w:left="0"/>
      </w:pPr>
      <w:r>
        <w:rPr>
          <w:rFonts w:ascii="Arial Unicode MS" w:hAnsi="Arial Unicode MS" w:eastAsia="Arial Unicode MS"/>
          <w:b/>
          <w:color w:val="000000"/>
          <w:sz w:val="22"/>
        </w:rPr>
        <w:t>附录 A：Entity 字段与状态模型</w:t>
      </w:r>
    </w:p>
    <w:p>
      <w:pPr>
        <w:keepLines/>
        <w:spacing w:after="60"/>
        <w:ind w:left="0"/>
      </w:pPr>
      <w:r>
        <w:rPr>
          <w:rFonts w:ascii="Arial Unicode MS" w:hAnsi="Arial Unicode MS" w:eastAsia="Arial Unicode MS"/>
          <w:b/>
          <w:color w:val="000000"/>
          <w:sz w:val="22"/>
        </w:rPr>
        <w:t>附录 B：术语与契约索引</w:t>
      </w:r>
    </w:p>
    <w:p>
      <w:r>
        <w:br w:type="page"/>
      </w:r>
    </w:p>
    <w:p>
      <w:pPr>
        <w:pStyle w:val="Heading1"/>
        <w:pageBreakBefore w:val="0"/>
      </w:pPr>
      <w:r>
        <w:t>1. 服务概述</w:t>
      </w:r>
    </w:p>
    <w:p>
      <w:pPr>
        <w:widowControl/>
      </w:pPr>
      <w:r>
        <w:rPr>
          <w:rFonts w:ascii="Arial Unicode MS" w:hAnsi="Arial Unicode MS" w:eastAsia="Arial Unicode MS"/>
          <w:b w:val="0"/>
          <w:color w:val="263238"/>
          <w:sz w:val="21"/>
        </w:rPr>
        <w:t>重明图服务以数据图保存新闻、可核查事实、来源、证据和核查结论。它拥有用户与 Workspace 权限、图数据、核查 Run、人工 Review、Agent 配置副本、资产及幂等回执；多个 Host 可以共享同一图服务和 MongoDB，从同一张图领取不同核查角度并演进结果。</w:t>
      </w:r>
    </w:p>
    <w:p>
      <w:pPr>
        <w:widowControl/>
      </w:pPr>
      <w:r>
        <w:rPr>
          <w:rFonts w:ascii="Arial Unicode MS" w:hAnsi="Arial Unicode MS" w:eastAsia="Arial Unicode MS"/>
          <w:b w:val="0"/>
          <w:color w:val="263238"/>
          <w:sz w:val="21"/>
        </w:rPr>
        <w:t>服务把模型会话和工具执行交给 DSH。图服务决定“允许谁对哪张图做什么、可使用哪些 Agent 和工具、结果是否仍属于当前 Run”；DSH 决定一次受限工作的模型执行过程。用户客户端看不到 Host 调度和 DSH Session，只读取业务状态并提交审核决定。</w:t>
      </w:r>
    </w:p>
    <w:p>
      <w:pPr>
        <w:widowControl/>
      </w:pPr>
      <w:r>
        <w:rPr>
          <w:rFonts w:ascii="Arial Unicode MS" w:hAnsi="Arial Unicode MS" w:eastAsia="Arial Unicode MS"/>
          <w:b w:val="0"/>
          <w:color w:val="263238"/>
          <w:sz w:val="21"/>
        </w:rPr>
        <w:t>服务不负责浏览器抓取 URL、保证外部工具副作用恰好一次、保存模型完整思维过程，也尚未执行 parse/split 阶段。GridFS 是本服务的资产字节存储；模型供应商和自定义工具保持为 DSH 外部黑盒。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4289771"/>
            <wp:docPr id="1" name="Picture 1" descr="服务上下文" title="图 1 服务上下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-01-service-contex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289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rPr>
          <w:rFonts w:ascii="Arial Unicode MS" w:hAnsi="Arial Unicode MS" w:eastAsia="Arial Unicode MS"/>
          <w:color w:val="5F6B6D"/>
          <w:sz w:val="18"/>
        </w:rPr>
        <w:t>图 1  服务上下文</w:t>
      </w:r>
    </w:p>
    <w:p>
      <w:pPr>
        <w:widowControl/>
      </w:pPr>
      <w:r>
        <w:rPr>
          <w:rFonts w:ascii="Arial Unicode MS" w:hAnsi="Arial Unicode MS" w:eastAsia="Arial Unicode MS"/>
          <w:b w:val="0"/>
          <w:color w:val="263238"/>
          <w:sz w:val="21"/>
        </w:rPr>
        <w:t>主要调用者包括用户客户端、本机管理员、常驻 Host 和本机开发者。运行时基础设施为 MongoDB 副本集、GridFS 与每台 Host 上的独立 DSH 目录。</w:t>
      </w:r>
    </w:p>
    <w:p>
      <w:pPr>
        <w:pStyle w:val="Heading1"/>
      </w:pPr>
      <w:r>
        <w:t>2. 用例视角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 w:val="true"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7D80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流程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7D80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参与者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7D80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业务目标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7D80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可观察结果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UC-01 登录并恢复上下文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用户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打开本人可见的 Workspace 与数据图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返回身份、权限、偏好和图快照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UC-02 治理协作配置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Owner、HostAdmin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管理成员、Agent 副本和共享设置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新配置版本供后续 Run 使用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UC-03 维护事实数据图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Editor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创建或修改节点与显式关系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原子生成新的图版本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UC-04 动态多角度核查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Editor、Host、DSH、审核者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动态选择角度并形成可追溯结论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Run 结束；批准时结论节点入图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UC-05 管理可追溯资产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Editor、Owner、Viewer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上传、读取和删除有摘要的证据文件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ready Asset 可引用，删除后不可读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UC-06 移植 Workspace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Viewer、Owner、staging Owner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导出和导入完整 v3 包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产生标识隔离的新 Workspace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Arial Unicode MS" w:hAnsi="Arial Unicode MS" w:eastAsia="Arial Unicode MS"/>
          <w:b w:val="0"/>
          <w:color w:val="263238"/>
          <w:sz w:val="21"/>
        </w:rPr>
        <w:t>运维流程负责服务初始化、用户与密钥管理、诊断和显式数据修复。另有一个独立 DSH SDK 调试端点，不进入用户数据图流程。</w:t>
      </w:r>
    </w:p>
    <w:p>
      <w:pPr>
        <w:pStyle w:val="Heading1"/>
      </w:pPr>
      <w:r>
        <w:t>3. 接口与服务通信</w:t>
      </w:r>
    </w:p>
    <w:p>
      <w:pPr>
        <w:pStyle w:val="Heading2"/>
      </w:pPr>
      <w:r>
        <w:t>3.1 HTTP API</w:t>
      </w:r>
    </w:p>
    <w:p>
      <w:pPr>
        <w:widowControl/>
      </w:pPr>
      <w:r>
        <w:rPr>
          <w:rFonts w:ascii="Arial Unicode MS" w:hAnsi="Arial Unicode MS" w:eastAsia="Arial Unicode MS"/>
          <w:b w:val="0"/>
          <w:color w:val="263238"/>
          <w:sz w:val="21"/>
        </w:rPr>
        <w:t>所有公开 JSON 请求使用用户 Bearer token；成功命令返回请求标识、是否重放及业务结果，错误返回稳定错误码、是否可重试与可选当前版本。查询不要求幂等键；命令要求稳定 UUID，相同命令在传输结果不确定时可原样重发。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 w:val="true"/>
        </w:trPr>
        <w:tc>
          <w:tcPr>
            <w:tcW w:type="dxa" w:w="11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7D80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业务能力</w:t>
            </w:r>
          </w:p>
        </w:tc>
        <w:tc>
          <w:tcPr>
            <w:tcW w:type="dxa" w:w="13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7D80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方法与路径</w:t>
            </w:r>
          </w:p>
        </w:tc>
        <w:tc>
          <w:tcPr>
            <w:tcW w:type="dxa" w:w="15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7D80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访问边界</w:t>
            </w:r>
          </w:p>
        </w:tc>
        <w:tc>
          <w:tcPr>
            <w:tcW w:type="dxa" w:w="22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7D80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关键请求</w:t>
            </w:r>
          </w:p>
        </w:tc>
        <w:tc>
          <w:tcPr>
            <w:tcW w:type="dxa" w:w="2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7D80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响应</w:t>
            </w:r>
          </w:p>
        </w:tc>
        <w:tc>
          <w:tcPr>
            <w:tcW w:type="dxa" w:w="13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7D80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流程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查询业务数据</w:t>
            </w:r>
          </w:p>
        </w:tc>
        <w:tc>
          <w:tcPr>
            <w:tcW w:type="dxa" w:w="13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POST /api/v1/query</w:t>
            </w:r>
          </w:p>
        </w:tc>
        <w:tc>
          <w:tcPr>
            <w:tcW w:type="dxa" w:w="15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登录；资源权限按 method</w:t>
            </w:r>
          </w:p>
        </w:tc>
        <w:tc>
          <w:tcPr>
            <w:tcW w:type="dxa" w:w="22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查询 method 与其参数</w:t>
            </w:r>
          </w:p>
        </w:tc>
        <w:tc>
          <w:tcPr>
            <w:tcW w:type="dxa" w:w="2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身份、Workspace、Map、Run、Agent 或 Asset 视图</w:t>
            </w:r>
          </w:p>
        </w:tc>
        <w:tc>
          <w:tcPr>
            <w:tcW w:type="dxa" w:w="13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UC-01/02/04/05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修改业务数据</w:t>
            </w:r>
          </w:p>
        </w:tc>
        <w:tc>
          <w:tcPr>
            <w:tcW w:type="dxa" w:w="13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POST /api/v1/command</w:t>
            </w:r>
          </w:p>
        </w:tc>
        <w:tc>
          <w:tcPr>
            <w:tcW w:type="dxa" w:w="15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登录；Owner/Editor/HostAdmin 按 method</w:t>
            </w:r>
          </w:p>
        </w:tc>
        <w:tc>
          <w:tcPr>
            <w:tcW w:type="dxa" w:w="22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请求 UUID、命令 method、期望版本与业务参数</w:t>
            </w:r>
          </w:p>
        </w:tc>
        <w:tc>
          <w:tcPr>
            <w:tcW w:type="dxa" w:w="2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新资源视图或图快照，含重放标识</w:t>
            </w:r>
          </w:p>
        </w:tc>
        <w:tc>
          <w:tcPr>
            <w:tcW w:type="dxa" w:w="13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UC-01..06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上传资产</w:t>
            </w:r>
          </w:p>
        </w:tc>
        <w:tc>
          <w:tcPr>
            <w:tcW w:type="dxa" w:w="13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POST /api/v1/assets</w:t>
            </w:r>
          </w:p>
        </w:tc>
        <w:tc>
          <w:tcPr>
            <w:tcW w:type="dxa" w:w="15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Workspace Editor</w:t>
            </w:r>
          </w:p>
        </w:tc>
        <w:tc>
          <w:tcPr>
            <w:tcW w:type="dxa" w:w="22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Workspace、文件名、媒体类型、长度、SHA-256、幂等键和字节流</w:t>
            </w:r>
          </w:p>
        </w:tc>
        <w:tc>
          <w:tcPr>
            <w:tcW w:type="dxa" w:w="2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ready Asset</w:t>
            </w:r>
          </w:p>
        </w:tc>
        <w:tc>
          <w:tcPr>
            <w:tcW w:type="dxa" w:w="13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UC-05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下载资产</w:t>
            </w:r>
          </w:p>
        </w:tc>
        <w:tc>
          <w:tcPr>
            <w:tcW w:type="dxa" w:w="13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GET /api/v1/assets/{资产标识}/content</w:t>
            </w:r>
          </w:p>
        </w:tc>
        <w:tc>
          <w:tcPr>
            <w:tcW w:type="dxa" w:w="15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Workspace Viewer</w:t>
            </w:r>
          </w:p>
        </w:tc>
        <w:tc>
          <w:tcPr>
            <w:tcW w:type="dxa" w:w="22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资产标识</w:t>
            </w:r>
          </w:p>
        </w:tc>
        <w:tc>
          <w:tcPr>
            <w:tcW w:type="dxa" w:w="2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原媒体类型字节流、长度与摘要 ETag</w:t>
            </w:r>
          </w:p>
        </w:tc>
        <w:tc>
          <w:tcPr>
            <w:tcW w:type="dxa" w:w="13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UC-05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导出 Map</w:t>
            </w:r>
          </w:p>
        </w:tc>
        <w:tc>
          <w:tcPr>
            <w:tcW w:type="dxa" w:w="13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GET /api/v1/maps/{图标识}/export</w:t>
            </w:r>
          </w:p>
        </w:tc>
        <w:tc>
          <w:tcPr>
            <w:tcW w:type="dxa" w:w="15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Workspace Viewer</w:t>
            </w:r>
          </w:p>
        </w:tc>
        <w:tc>
          <w:tcPr>
            <w:tcW w:type="dxa" w:w="22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图标识</w:t>
            </w:r>
          </w:p>
        </w:tc>
        <w:tc>
          <w:tcPr>
            <w:tcW w:type="dxa" w:w="2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MapBundle v3 JSON</w:t>
            </w:r>
          </w:p>
        </w:tc>
        <w:tc>
          <w:tcPr>
            <w:tcW w:type="dxa" w:w="13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UC-06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导出 Workspace</w:t>
            </w:r>
          </w:p>
        </w:tc>
        <w:tc>
          <w:tcPr>
            <w:tcW w:type="dxa" w:w="13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GET /api/v1/workspaces/{工作区标识}/export</w:t>
            </w:r>
          </w:p>
        </w:tc>
        <w:tc>
          <w:tcPr>
            <w:tcW w:type="dxa" w:w="15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Workspace Owner</w:t>
            </w:r>
          </w:p>
        </w:tc>
        <w:tc>
          <w:tcPr>
            <w:tcW w:type="dxa" w:w="22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工作区标识</w:t>
            </w:r>
          </w:p>
        </w:tc>
        <w:tc>
          <w:tcPr>
            <w:tcW w:type="dxa" w:w="2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WorkspaceBundle v3 JSON</w:t>
            </w:r>
          </w:p>
        </w:tc>
        <w:tc>
          <w:tcPr>
            <w:tcW w:type="dxa" w:w="13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UC-06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健康探测</w:t>
            </w:r>
          </w:p>
        </w:tc>
        <w:tc>
          <w:tcPr>
            <w:tcW w:type="dxa" w:w="13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GET /health</w:t>
            </w:r>
          </w:p>
        </w:tc>
        <w:tc>
          <w:tcPr>
            <w:tcW w:type="dxa" w:w="15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进程网络可达</w:t>
            </w:r>
          </w:p>
        </w:tc>
        <w:tc>
          <w:tcPr>
            <w:tcW w:type="dxa" w:w="22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无</w:t>
            </w:r>
          </w:p>
        </w:tc>
        <w:tc>
          <w:tcPr>
            <w:tcW w:type="dxa" w:w="2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{ok:true}</w:t>
            </w:r>
          </w:p>
        </w:tc>
        <w:tc>
          <w:tcPr>
            <w:tcW w:type="dxa" w:w="13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运维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Arial Unicode MS" w:hAnsi="Arial Unicode MS" w:eastAsia="Arial Unicode MS"/>
          <w:b w:val="0"/>
          <w:color w:val="263238"/>
          <w:sz w:val="21"/>
        </w:rPr>
        <w:t>query methods：应用启动信息、工作区列表/详情、图列表/详情、Run 详情、Agent 列表、Asset 元数据。command methods：Workspace、成员、偏好、Agent、共享设置、Map、Graph、Run、Review、Asset 删除和 Workspace 导入。每个 method 的字段以共享 TypeScript 契约为准。</w:t>
      </w:r>
    </w:p>
    <w:p>
      <w:pPr>
        <w:pStyle w:val="Heading2"/>
      </w:pPr>
      <w:r>
        <w:t>3.2 内部 Host/DSH 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 w:val="true"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7D80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7D80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7D80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访问边界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7D80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请求与结果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领取和维护工作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POST /internal/v1/work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独立内部 Bearer token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claim/read/renew/release/fail；grant 含工作、角色、holder、fence 和到期时间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读取授权输入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POST /internal/v1/data/read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内部 token + 当前 work headers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返回 Claim、可见 News 上下文、冻结配置、批准路由、报告和待审状态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提交业务产物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POST /internal/v1/data/propose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同上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提交 route/report/merge，成功返回新图快照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Arial Unicode MS" w:hAnsi="Arial Unicode MS" w:eastAsia="Arial Unicode MS"/>
          <w:b w:val="0"/>
          <w:color w:val="263238"/>
          <w:sz w:val="21"/>
        </w:rPr>
        <w:t>Host 不从用户请求直接接收 Agent 配置；它领取的 grant 只指向服务端冻结的工作。DSH 插件每次读取当前授权投影，模型参数不包含 holder、fence 或内部 token。</w:t>
      </w:r>
    </w:p>
    <w:p>
      <w:pPr>
        <w:pStyle w:val="Heading2"/>
      </w:pPr>
      <w:r>
        <w:t>3.3 其他通信</w:t>
      </w:r>
    </w:p>
    <w:p>
      <w:pPr>
        <w:widowControl/>
      </w:pPr>
      <w:r>
        <w:rPr>
          <w:rFonts w:ascii="Arial Unicode MS" w:hAnsi="Arial Unicode MS" w:eastAsia="Arial Unicode MS"/>
          <w:b w:val="0"/>
          <w:color w:val="263238"/>
          <w:sz w:val="21"/>
        </w:rPr>
        <w:t>图服务和 Host 之间是普通 HTTP，没有消息队列。Host 以轮询发现工作，以 lease 表达暂时所有权。Host 与 DSH 进程通过官方 SDK 的 JSON-RPC 协议通信；图服务不依赖该协议细节，只接收最终业务 proposal。</w:t>
      </w:r>
    </w:p>
    <w:p>
      <w:pPr>
        <w:widowControl/>
      </w:pPr>
      <w:r>
        <w:rPr>
          <w:rFonts w:ascii="Arial Unicode MS" w:hAnsi="Arial Unicode MS" w:eastAsia="Arial Unicode MS"/>
          <w:b w:val="0"/>
          <w:color w:val="263238"/>
          <w:sz w:val="21"/>
        </w:rPr>
        <w:t>MongoDB 提供事务、CAS 和多数写。GridFS 保存资产字节。自定义模型 provider 与工具由受信 DSH patch 注册，Workspace 只保存逻辑名称和参数，不保存系统密钥或任意服务地址。</w:t>
      </w:r>
    </w:p>
    <w:p>
      <w:pPr>
        <w:pStyle w:val="Heading1"/>
      </w:pPr>
      <w:r>
        <w:t>4. 用例运行机制</w:t>
      </w:r>
    </w:p>
    <w:p>
      <w:pPr>
        <w:pStyle w:val="Heading2"/>
      </w:pPr>
      <w:r>
        <w:t>4.1 登录并恢复工作上下文</w:t>
      </w:r>
    </w:p>
    <w:p>
      <w:pPr>
        <w:widowControl/>
      </w:pPr>
      <w:r>
        <w:rPr>
          <w:rFonts w:ascii="Arial Unicode MS" w:hAnsi="Arial Unicode MS" w:eastAsia="Arial Unicode MS"/>
          <w:b w:val="0"/>
          <w:color w:val="263238"/>
          <w:sz w:val="21"/>
        </w:rPr>
        <w:t>客户端提交用户 token 后，认证服务只接受未撤销、未过期 token 及启用用户。随后按成员关系返回本人可见的 Workspace；Workspace 详情同时返回成员显示名、Agent 副本和个人偏好。读取 Map 前再次检查其所属 Workspace 权限，防止仅凭图标识越权读取。</w:t>
      </w:r>
    </w:p>
    <w:p>
      <w:pPr>
        <w:widowControl/>
      </w:pPr>
      <w:r>
        <w:rPr>
          <w:rFonts w:ascii="Arial Unicode MS" w:hAnsi="Arial Unicode MS" w:eastAsia="Arial Unicode MS"/>
          <w:b w:val="0"/>
          <w:color w:val="263238"/>
          <w:sz w:val="21"/>
        </w:rPr>
        <w:t>个人偏好独立于 Workspace 版本，记录打开的图、当前图与每张图的节点选择。首次访问得到版本 0 的空偏好；保存时校验所有图都属于当前 Workspace。权限变化或版本冲突直接返回错误，不返回旧权限下的缓存结果。</w:t>
      </w:r>
    </w:p>
    <w:p>
      <w:pPr>
        <w:pStyle w:val="Heading2"/>
      </w:pPr>
      <w:r>
        <w:t>4.2 治理 Workspace、成员、Agent 和共享设置</w:t>
      </w:r>
    </w:p>
    <w:p>
      <w:pPr>
        <w:widowControl/>
      </w:pPr>
      <w:r>
        <w:rPr>
          <w:rFonts w:ascii="Arial Unicode MS" w:hAnsi="Arial Unicode MS" w:eastAsia="Arial Unicode MS"/>
          <w:b w:val="0"/>
          <w:color w:val="263238"/>
          <w:sz w:val="21"/>
        </w:rPr>
        <w:t>创建者自动成为 Workspace Owner。Workspace 可以从空 Agent 集合开始，也可以复制共享 Agent 库；复制时生成新 Agent 标识，因此后续共享库修改不会改变已有 Workspace。Owner 管理成员和 Workspace Agent；HostAdmin 管理共享库、默认模型和工具目录。</w:t>
      </w:r>
    </w:p>
    <w:p>
      <w:pPr>
        <w:widowControl/>
      </w:pPr>
      <w:r>
        <w:rPr>
          <w:rFonts w:ascii="Arial Unicode MS" w:hAnsi="Arial Unicode MS" w:eastAsia="Arial Unicode MS"/>
          <w:b w:val="0"/>
          <w:color w:val="263238"/>
          <w:sz w:val="21"/>
        </w:rPr>
        <w:t>每个管理命令在认证事务中重新确认 token、用户和角色。Workspace、Agent 库及共享设置各有版本；Agent 另有自身版本。提交同时匹配作用域版本和对象版本，并写请求回执。不能移除最后一个 Owner，不能删除固定路由/汇总角色，也不能移除仍被配置引用的工具。</w:t>
      </w:r>
    </w:p>
    <w:p>
      <w:pPr>
        <w:widowControl/>
      </w:pPr>
      <w:r>
        <w:rPr>
          <w:rFonts w:ascii="Arial Unicode MS" w:hAnsi="Arial Unicode MS" w:eastAsia="Arial Unicode MS"/>
          <w:b w:val="0"/>
          <w:color w:val="263238"/>
          <w:sz w:val="21"/>
        </w:rPr>
        <w:t>启动核查时才把 Workspace 当前 verify 路由器、worker、汇总器、模型解析结果、工具目录和 slot 上限组合为运行配置。此后修改管理配置不影响已经创建的 Run。</w:t>
      </w:r>
    </w:p>
    <w:p>
      <w:pPr>
        <w:pStyle w:val="Heading2"/>
      </w:pPr>
      <w:r>
        <w:t>4.3 建立和维护事实数据图</w:t>
      </w:r>
    </w:p>
    <w:p>
      <w:pPr>
        <w:widowControl/>
      </w:pPr>
      <w:r>
        <w:rPr>
          <w:rFonts w:ascii="Arial Unicode MS" w:hAnsi="Arial Unicode MS" w:eastAsia="Arial Unicode MS"/>
          <w:b w:val="0"/>
          <w:color w:val="263238"/>
          <w:sz w:val="21"/>
        </w:rPr>
        <w:t>Map 是一个带整体版本的数据图。新闻节点保存正文和可选择提供给 Agent 的上下文字段；事实节点保存可独立核查的陈述；来源和证据节点用 Asset 或 HTTP(S) URL locator；Verification 保存总分、理由和各角度意见。mentions 连接新闻到事实，verifies 连接结论到事实，related-to 表示其他显式关联。</w:t>
      </w:r>
    </w:p>
    <w:p>
      <w:pPr>
        <w:widowControl/>
      </w:pPr>
      <w:r>
        <w:rPr>
          <w:rFonts w:ascii="Arial Unicode MS" w:hAnsi="Arial Unicode MS" w:eastAsia="Arial Unicode MS"/>
          <w:b w:val="0"/>
          <w:color w:val="263238"/>
          <w:sz w:val="21"/>
        </w:rPr>
        <w:t>一次图命令可同时修改名称、节点和关系。服务先验证 ID 唯一、端点存在、关系方向、自环、节点类型不可改变及 Asset 引用，再以旧 Map 版本做单文档 CAS。成功后整体版本增加一次；更新的 Node/Edge 各自增加版本。删除节点会同时删除相邻关系。</w:t>
      </w:r>
    </w:p>
    <w:p>
      <w:pPr>
        <w:widowControl/>
      </w:pPr>
      <w:r>
        <w:rPr>
          <w:rFonts w:ascii="Arial Unicode MS" w:hAnsi="Arial Unicode MS" w:eastAsia="Arial Unicode MS"/>
          <w:b w:val="0"/>
          <w:color w:val="263238"/>
          <w:sz w:val="21"/>
        </w:rPr>
        <w:t>活动 Run 冻结了输入节点版本，因此普通图编辑被阻止。删除 Map 也要求先结束 Run。图文档超过 8 MiB 软限制时拒绝普通增长型写入，并保留取消、失败和删除的收尾空间。</w:t>
      </w:r>
    </w:p>
    <w:p>
      <w:pPr>
        <w:pStyle w:val="Heading2"/>
      </w:pPr>
      <w:r>
        <w:t>4.4 动态多角度核查</w:t>
      </w:r>
    </w:p>
    <w:p>
      <w:pPr>
        <w:widowControl/>
      </w:pPr>
      <w:r>
        <w:rPr>
          <w:rFonts w:ascii="Arial Unicode MS" w:hAnsi="Arial Unicode MS" w:eastAsia="Arial Unicode MS"/>
          <w:b w:val="0"/>
          <w:color w:val="263238"/>
          <w:sz w:val="21"/>
        </w:rPr>
        <w:t>用户针对 Claim 启动核查时，服务冻结 Agent 配置以及 Claim 和关联 News 的版本。工作发现器从已接受状态派生下一步：没有路由时生成 router 工作；路由批准后为每个未完成角度生成 worker 工作；报告齐全后生成 merge 工作。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2015346"/>
            <wp:docPr id="2" name="Picture 2" descr="启动与路由工作" title="图 2 启动与路由工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04-A-start-rou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015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rPr>
          <w:rFonts w:ascii="Arial Unicode MS" w:hAnsi="Arial Unicode MS" w:eastAsia="Arial Unicode MS"/>
          <w:color w:val="5F6B6D"/>
          <w:sz w:val="18"/>
        </w:rPr>
        <w:t>图 2  启动与路由工作</w:t>
      </w:r>
    </w:p>
    <w:p>
      <w:pPr>
        <w:widowControl/>
      </w:pPr>
      <w:r>
        <w:rPr>
          <w:rFonts w:ascii="Arial Unicode MS" w:hAnsi="Arial Unicode MS" w:eastAsia="Arial Unicode MS"/>
          <w:b w:val="0"/>
          <w:color w:val="263238"/>
          <w:sz w:val="21"/>
        </w:rPr>
        <w:t>每个 Host 一次只拥有一个工作。claim 在 Graph 文档中写 holder、单调 fence 和数据库时间计算的到期时间；不同 Host 因而可并行领取同一图的不同 slot。执行期间 Host 周期续租，并在到期前使用更保守的本地截止时间中止工作。</w:t>
      </w:r>
    </w:p>
    <w:p>
      <w:pPr>
        <w:widowControl/>
      </w:pPr>
      <w:r>
        <w:rPr>
          <w:rFonts w:ascii="Arial Unicode MS" w:hAnsi="Arial Unicode MS" w:eastAsia="Arial Unicode MS"/>
          <w:b w:val="0"/>
          <w:color w:val="263238"/>
          <w:sz w:val="21"/>
        </w:rPr>
        <w:t xml:space="preserve">DSH 工作适配器读取当前角色可见的数据，构造 persona 和一次性 patch。业务插件绑定根 Agent，把工具限制为 </w:t>
      </w:r>
      <w:r>
        <w:rPr>
          <w:rFonts w:ascii="Menlo" w:hAnsi="Menlo" w:eastAsia="Menlo"/>
          <w:b w:val="0"/>
          <w:color w:val="263238"/>
          <w:sz w:val="18"/>
          <w:noProof/>
        </w:rPr>
        <w:t>data_read</w:t>
      </w:r>
      <w:r>
        <w:rPr>
          <w:rFonts w:ascii="Arial Unicode MS" w:hAnsi="Arial Unicode MS" w:eastAsia="Arial Unicode MS"/>
          <w:b w:val="0"/>
          <w:color w:val="263238"/>
          <w:sz w:val="21"/>
        </w:rPr>
        <w:t>、</w:t>
      </w:r>
      <w:r>
        <w:rPr>
          <w:rFonts w:ascii="Menlo" w:hAnsi="Menlo" w:eastAsia="Menlo"/>
          <w:b w:val="0"/>
          <w:color w:val="263238"/>
          <w:sz w:val="18"/>
          <w:noProof/>
        </w:rPr>
        <w:t>data_propose</w:t>
      </w:r>
      <w:r>
        <w:rPr>
          <w:rFonts w:ascii="Arial Unicode MS" w:hAnsi="Arial Unicode MS" w:eastAsia="Arial Unicode MS"/>
          <w:b w:val="0"/>
          <w:color w:val="263238"/>
          <w:sz w:val="21"/>
        </w:rPr>
        <w:t xml:space="preserve"> 和当前 slot 的工具白名单。router 提交角度、Agent、优先级、提示和工具子集；worker 提交该角度的分数与理由；merger 必须引用全部已批准角度报告。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4045816"/>
            <wp:docPr id="3" name="Picture 3" descr="Host 与 DSH 执行" title="图 3 Host 与 DSH 执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04-B-host-ds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045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rPr>
          <w:rFonts w:ascii="Arial Unicode MS" w:hAnsi="Arial Unicode MS" w:eastAsia="Arial Unicode MS"/>
          <w:color w:val="5F6B6D"/>
          <w:sz w:val="18"/>
        </w:rPr>
        <w:t>图 3  Host 与 DSH 执行</w:t>
      </w:r>
    </w:p>
    <w:p>
      <w:pPr>
        <w:widowControl/>
      </w:pPr>
      <w:r>
        <w:rPr>
          <w:rFonts w:ascii="Arial Unicode MS" w:hAnsi="Arial Unicode MS" w:eastAsia="Arial Unicode MS"/>
          <w:b w:val="0"/>
          <w:color w:val="263238"/>
          <w:sz w:val="21"/>
        </w:rPr>
        <w:t>最终 proposal 同时校验工作 ID、角色、slot、route 版本、输入节点版本、holder、fence、到期时间和当前 Run。多个 worker 同时完成时，服务只重试 Mongo CAS 写入，不重跑模型。提交成功后写业务回执；相同 proposal 可确认重放，旧租约或迟到结果不能写入。</w:t>
      </w:r>
    </w:p>
    <w:p>
      <w:pPr>
        <w:widowControl/>
      </w:pPr>
      <w:r>
        <w:rPr>
          <w:rFonts w:ascii="Arial Unicode MS" w:hAnsi="Arial Unicode MS" w:eastAsia="Arial Unicode MS"/>
          <w:b w:val="0"/>
          <w:color w:val="263238"/>
          <w:sz w:val="21"/>
        </w:rPr>
        <w:t>人工模式在 route 和 merge 后分别进入等待审核。路由审核可以在冻结目录内修改角度、Agent 和工具子集；修改增加 route 与 Review 版本。批准 route 后恢复运行并开放 worker；拒绝使 Run 失败。批准 result 时把汇总草稿和所有角度意见写成 Verification 节点与 verifies 关系；自动模式跳过两轮 Review，merge 后直接完成。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4200877"/>
            <wp:docPr id="4" name="Picture 4" descr="人工审核" title="图 4 人工审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04-C-re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200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rPr>
          <w:rFonts w:ascii="Arial Unicode MS" w:hAnsi="Arial Unicode MS" w:eastAsia="Arial Unicode MS"/>
          <w:color w:val="5F6B6D"/>
          <w:sz w:val="18"/>
        </w:rPr>
        <w:t>图 4  人工审核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4168059"/>
            <wp:docPr id="5" name="Picture 5" descr="Run 状态" title="图 5 Run 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-01-run-sta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168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rPr>
          <w:rFonts w:ascii="Arial Unicode MS" w:hAnsi="Arial Unicode MS" w:eastAsia="Arial Unicode MS"/>
          <w:color w:val="5F6B6D"/>
          <w:sz w:val="18"/>
        </w:rPr>
        <w:t>图 5  Run 状态</w:t>
      </w:r>
    </w:p>
    <w:p>
      <w:pPr>
        <w:widowControl/>
      </w:pPr>
      <w:r>
        <w:rPr>
          <w:rFonts w:ascii="Arial Unicode MS" w:hAnsi="Arial Unicode MS" w:eastAsia="Arial Unicode MS"/>
          <w:b w:val="0"/>
          <w:color w:val="263238"/>
          <w:sz w:val="21"/>
        </w:rPr>
        <w:t>用户显式取消会终止活动 Run。Host 遇到不可恢复的模型或配置错误会提交失败；临时内部 API 失败保留可接管状态。关闭客户端或 Map 标签只停止观察，不取消服务端 Run。</w:t>
      </w:r>
    </w:p>
    <w:p>
      <w:pPr>
        <w:pStyle w:val="Heading2"/>
      </w:pPr>
      <w:r>
        <w:t>4.5 管理可追溯资产</w:t>
      </w:r>
    </w:p>
    <w:p>
      <w:pPr>
        <w:widowControl/>
      </w:pPr>
      <w:r>
        <w:rPr>
          <w:rFonts w:ascii="Arial Unicode MS" w:hAnsi="Arial Unicode MS" w:eastAsia="Arial Unicode MS"/>
          <w:b w:val="0"/>
          <w:color w:val="263238"/>
          <w:sz w:val="21"/>
        </w:rPr>
        <w:t>上传先验证 Workspace Editor 权限，再把受限字节流写入 GridFS，同时计算长度与 SHA-256；任何超长、中断或摘要不符都会中止。字节完整后，服务在事务中重新验证用户与 Editor 权限并发布 ready 元数据。相同用户、Workspace、幂等键和内容返回同一 Asset；同键不同内容冲突。</w:t>
      </w:r>
    </w:p>
    <w:p>
      <w:pPr>
        <w:widowControl/>
      </w:pPr>
      <w:r>
        <w:rPr>
          <w:rFonts w:ascii="Arial Unicode MS" w:hAnsi="Arial Unicode MS" w:eastAsia="Arial Unicode MS"/>
          <w:b w:val="0"/>
          <w:color w:val="263238"/>
          <w:sz w:val="21"/>
        </w:rPr>
        <w:t>下载先验证 Viewer 权限，只读取 ready 资产，并带媒体类型、长度和摘要。删除要求 Owner、摘要匹配且没有未删除 Graph 引用该 Asset；成功后写 deleted tombstone。物理 blob 由显式清理动作回收。</w:t>
      </w:r>
    </w:p>
    <w:p>
      <w:pPr>
        <w:pStyle w:val="Heading2"/>
      </w:pPr>
      <w:r>
        <w:t>4.6 导出和导入可移植 Workspace</w:t>
      </w:r>
    </w:p>
    <w:p>
      <w:pPr>
        <w:widowControl/>
      </w:pPr>
      <w:r>
        <w:rPr>
          <w:rFonts w:ascii="Arial Unicode MS" w:hAnsi="Arial Unicode MS" w:eastAsia="Arial Unicode MS"/>
          <w:b w:val="0"/>
          <w:color w:val="263238"/>
          <w:sz w:val="21"/>
        </w:rPr>
        <w:t>导出在 Mongo 快照事务中读取 Workspace、Map、Agent 和所有被引用 Asset，再从 GridFS 读取并复核字节。MapBundle 需要 Viewer，导出一张图及其 Agent；WorkspaceBundle 需要 Owner，导出全部图。包采用 v3 JSON，包含 base64 后总大小最多 64 MiB。</w:t>
      </w:r>
    </w:p>
    <w:p>
      <w:pPr>
        <w:widowControl/>
      </w:pPr>
      <w:r>
        <w:rPr>
          <w:rFonts w:ascii="Arial Unicode MS" w:hAnsi="Arial Unicode MS" w:eastAsia="Arial Unicode MS"/>
          <w:b w:val="0"/>
          <w:color w:val="263238"/>
          <w:sz w:val="21"/>
        </w:rPr>
        <w:t>导入前验证格式、版本、字段、数量、重复 ID、base64 canonical 形式、摘要及节点—关系—资产引用闭包。随后为 Workspace、Map、Node、Edge、已打包 Agent 和历史 slot 建立新标识。导入的 Verification 标为 stale，活动 Run、lease 和执行回执不进入新图。</w:t>
      </w:r>
    </w:p>
    <w:p>
      <w:pPr>
        <w:widowControl/>
      </w:pPr>
      <w:r>
        <w:rPr>
          <w:rFonts w:ascii="Arial Unicode MS" w:hAnsi="Arial Unicode MS" w:eastAsia="Arial Unicode MS"/>
          <w:b w:val="0"/>
          <w:color w:val="263238"/>
          <w:sz w:val="21"/>
        </w:rPr>
        <w:t>资产 blob 先私有准备，最终以一个有限事务发布 Workspace、所有 Graph、资产元数据和命令回执。确定回滚会清理本次 blob；提交结果未知时保留私有 blob，避免误删可能已经发布的数据。</w:t>
      </w:r>
    </w:p>
    <w:p>
      <w:pPr>
        <w:pStyle w:val="Heading1"/>
      </w:pPr>
      <w:r>
        <w:t>5. 横切技术机制</w:t>
      </w:r>
    </w:p>
    <w:p>
      <w:pPr>
        <w:pStyle w:val="Heading2"/>
      </w:pPr>
      <w:r>
        <w:t>5.1 身份与资源归属</w:t>
      </w:r>
    </w:p>
    <w:p>
      <w:pPr>
        <w:widowControl/>
      </w:pPr>
      <w:r>
        <w:rPr>
          <w:rFonts w:ascii="Arial Unicode MS" w:hAnsi="Arial Unicode MS" w:eastAsia="Arial Unicode MS"/>
          <w:b w:val="0"/>
          <w:color w:val="263238"/>
          <w:sz w:val="21"/>
        </w:rPr>
        <w:t>用户 token 只以 SHA-256 持久化。Owner、Editor、Viewer 构成 Workspace 角色层级；HostAdmin 是用户级管理权限。每次写事务会触碰 token 和用户围栏，使并发撤权与业务写发生事务冲突。内部 Host token 与用户 token 分离。</w:t>
      </w:r>
    </w:p>
    <w:p>
      <w:pPr>
        <w:pStyle w:val="Heading2"/>
      </w:pPr>
      <w:r>
        <w:t>5.2 幂等与并发</w:t>
      </w:r>
    </w:p>
    <w:p>
      <w:pPr>
        <w:widowControl/>
      </w:pPr>
      <w:r>
        <w:rPr>
          <w:rFonts w:ascii="Arial Unicode MS" w:hAnsi="Arial Unicode MS" w:eastAsia="Arial Unicode MS"/>
          <w:b w:val="0"/>
          <w:color w:val="263238"/>
          <w:sz w:val="21"/>
        </w:rPr>
        <w:t>用户命令按用户、资源、请求 UUID 和规范化输入生成回执；同 ID 改输入返回冲突。Graph 以整体 revision CAS，Workspace 与 Agent 管理也使用显式版本。Host proposal 用工作 ID 作为业务幂等标识，并额外受 lease fence 保护。</w:t>
      </w:r>
    </w:p>
    <w:p>
      <w:pPr>
        <w:pStyle w:val="Heading2"/>
      </w:pPr>
      <w:r>
        <w:t>5.3 事务与补偿</w:t>
      </w:r>
    </w:p>
    <w:p>
      <w:pPr>
        <w:widowControl/>
      </w:pPr>
      <w:r>
        <w:rPr>
          <w:rFonts w:ascii="Arial Unicode MS" w:hAnsi="Arial Unicode MS" w:eastAsia="Arial Unicode MS"/>
          <w:b w:val="0"/>
          <w:color w:val="263238"/>
          <w:sz w:val="21"/>
        </w:rPr>
        <w:t>用户写使用 Mongo snapshot transaction 和 majority write concern。Graph 单文档提交天然原子；Workspace 导入跨多个集合使用有限事务。GridFS 写在事务外准备，通过 ready metadata 控制可见性，并按提交确定性决定是否清理。</w:t>
      </w:r>
    </w:p>
    <w:p>
      <w:pPr>
        <w:pStyle w:val="Heading2"/>
      </w:pPr>
      <w:r>
        <w:t>5.4 输入与敏感信息</w:t>
      </w:r>
    </w:p>
    <w:p>
      <w:pPr>
        <w:widowControl/>
      </w:pPr>
      <w:r>
        <w:rPr>
          <w:rFonts w:ascii="Arial Unicode MS" w:hAnsi="Arial Unicode MS" w:eastAsia="Arial Unicode MS"/>
          <w:b w:val="0"/>
          <w:color w:val="263238"/>
          <w:sz w:val="21"/>
        </w:rPr>
        <w:t>JSON 边界拒绝未知字段并限制为 1 MiB；UUID、版本、score、URL、文件名、媒体类型、长度和摘要逐项校验。客户端和服务拒绝重定向或任意内部方法调用。系统密钥仅来自 Host 本机环境/0600 配置文件，不进入 Workspace、bundle、模型参数或公开响应。</w:t>
      </w:r>
    </w:p>
    <w:p>
      <w:pPr>
        <w:pStyle w:val="Heading2"/>
      </w:pPr>
      <w:r>
        <w:t>5.5 错误与恢复</w:t>
      </w:r>
    </w:p>
    <w:p>
      <w:pPr>
        <w:widowControl/>
      </w:pPr>
      <w:r>
        <w:rPr>
          <w:rFonts w:ascii="Arial Unicode MS" w:hAnsi="Arial Unicode MS" w:eastAsia="Arial Unicode MS"/>
          <w:b w:val="0"/>
          <w:color w:val="263238"/>
          <w:sz w:val="21"/>
        </w:rPr>
        <w:t>业务错误按 400/401/403/404/409/410/413/422/503 分类。5xx 标记可重试；命令重试必须保持原 requestId 和原参数。版本冲突需要重读、人工合并并使用新请求标识。Host 失租会中止当前 DSH，工作在到期后可被其他 Host 领取。</w:t>
      </w:r>
    </w:p>
    <w:p>
      <w:pPr>
        <w:pStyle w:val="Heading1"/>
      </w:pPr>
      <w:r>
        <w:t>6. 部署与运行</w:t>
      </w:r>
    </w:p>
    <w:p>
      <w:pPr>
        <w:widowControl/>
      </w:pPr>
      <w:r>
        <w:rPr>
          <w:rFonts w:ascii="Arial Unicode MS" w:hAnsi="Arial Unicode MS" w:eastAsia="Arial Unicode MS"/>
          <w:b w:val="0"/>
          <w:color w:val="263238"/>
          <w:sz w:val="21"/>
        </w:rPr>
        <w:t xml:space="preserve">图服务入口为 </w:t>
      </w:r>
      <w:r>
        <w:rPr>
          <w:rFonts w:ascii="Menlo" w:hAnsi="Menlo" w:eastAsia="Menlo"/>
          <w:b w:val="0"/>
          <w:color w:val="263238"/>
          <w:sz w:val="18"/>
          <w:noProof/>
        </w:rPr>
        <w:t>npm run graph:serve</w:t>
      </w:r>
      <w:r>
        <w:rPr>
          <w:rFonts w:ascii="Arial Unicode MS" w:hAnsi="Arial Unicode MS" w:eastAsia="Arial Unicode MS"/>
          <w:b w:val="0"/>
          <w:color w:val="263238"/>
          <w:sz w:val="21"/>
        </w:rPr>
        <w:t xml:space="preserve">，默认监听 loopback 4320；需要 MongoDB 副本集。Host 入口为 </w:t>
      </w:r>
      <w:r>
        <w:rPr>
          <w:rFonts w:ascii="Menlo" w:hAnsi="Menlo" w:eastAsia="Menlo"/>
          <w:b w:val="0"/>
          <w:color w:val="263238"/>
          <w:sz w:val="18"/>
          <w:noProof/>
        </w:rPr>
        <w:t>npm run host:serve</w:t>
      </w:r>
      <w:r>
        <w:rPr>
          <w:rFonts w:ascii="Arial Unicode MS" w:hAnsi="Arial Unicode MS" w:eastAsia="Arial Unicode MS"/>
          <w:b w:val="0"/>
          <w:color w:val="263238"/>
          <w:sz w:val="21"/>
        </w:rPr>
        <w:t>，可以部署多份，每份使用唯一 Host ID 和独立 DSH home，共享图服务。客户端、图服务和 Host 是三个独立进程；客户端不会自动启动后端。</w:t>
      </w:r>
    </w:p>
    <w:p>
      <w:pPr>
        <w:widowControl/>
      </w:pPr>
      <w:r>
        <w:rPr>
          <w:rFonts w:ascii="Arial Unicode MS" w:hAnsi="Arial Unicode MS" w:eastAsia="Arial Unicode MS"/>
          <w:b w:val="0"/>
          <w:color w:val="263238"/>
          <w:sz w:val="21"/>
        </w:rPr>
        <w:t>影响运行行为的配置包括 Mongo URI、图服务端口、lease 时长、内部数据 token、Host 轮询与请求超时、DSH home/bin/provider/model、token/round 上限及受信 patch。环境变量优先于本机设置。本机 settings/secrets 文件以互斥锁和原子替换写入，权限为 0600。</w:t>
      </w:r>
    </w:p>
    <w:p>
      <w:pPr>
        <w:widowControl/>
      </w:pPr>
      <w:r>
        <w:rPr>
          <w:rFonts w:ascii="Arial Unicode MS" w:hAnsi="Arial Unicode MS" w:eastAsia="Arial Unicode MS"/>
          <w:b w:val="0"/>
          <w:color w:val="263238"/>
          <w:sz w:val="21"/>
        </w:rPr>
        <w:t>图服务只在 Mongo 索引和事务能力初始化成功后监听。退出信号先停止 HTTP，再关闭数据库；Host 退出先关闭当前工作和 DSH。运维应观察图服务连通性、Mongo 事务可用性、Host start/stop 与执行错误、lease 接管频率、写冲突、图大小和孤立 blob 维护需求。</w:t>
      </w:r>
    </w:p>
    <w:p>
      <w:pPr>
        <w:widowControl/>
      </w:pPr>
      <w:r>
        <w:rPr>
          <w:rFonts w:ascii="Arial Unicode MS" w:hAnsi="Arial Unicode MS" w:eastAsia="Arial Unicode MS"/>
          <w:b w:val="0"/>
          <w:color w:val="263238"/>
          <w:sz w:val="21"/>
        </w:rPr>
        <w:t>独立 DSH 调试服务默认监听 4318，以 NDJSON 返回 SDK 通知和最终结果。它没有用户鉴权、Workspace 或 lease，只用于本机验证 DSH 配置，不应作为产品图 API 暴露。</w:t>
      </w:r>
    </w:p>
    <w:p>
      <w:pPr>
        <w:pStyle w:val="Heading1"/>
      </w:pPr>
      <w:r>
        <w:t>附录 A：Entity 字段与状态模型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6" name="Picture 6" descr="持久化关系" title="图 6 持久化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-01-entity-relatio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rPr>
          <w:rFonts w:ascii="Arial Unicode MS" w:hAnsi="Arial Unicode MS" w:eastAsia="Arial Unicode MS"/>
          <w:color w:val="5F6B6D"/>
          <w:sz w:val="18"/>
        </w:rPr>
        <w:t>图 6  持久化关系</w:t>
      </w:r>
    </w:p>
    <w:p>
      <w:pPr>
        <w:pStyle w:val="Heading2"/>
      </w:pPr>
      <w:r>
        <w:t>A.1 图文档（GraphDocument，集合 `graphv3`）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 w:val="true"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7D80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源码字段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7D80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源码类型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7D80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字段用途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7D80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声明位置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 xml:space="preserve">id / </w:t>
            </w: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_id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Map 业务标识和 Mongo 主键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backend/store.ts:16,64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workspaceId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所属 Workspace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backend/store.ts:18,65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revision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number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Graph 整体 CAS 版本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backend/store.ts:19,66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name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Map 显示名称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backend/store.ts:20,67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nodes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GraphNode[]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数据节点集合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backend/store.ts:21,68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edges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GraphEdge[]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显式关系集合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backend/store.ts:22,69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run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GraphRun | null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当前或最近一次 Run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backend/store.ts:23,70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runHistory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GraphRun[]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更早的终态 Run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backend/store.ts:24,71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leases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Record&lt;string, GraphWorkGrant&gt;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Host 工作租约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backend/store.ts:25,72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receipts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GraphReceipt[]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图命令与 proposal 幂等回执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backend/store.ts:26,73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createdAt / updatedAt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创建与最后业务更新时间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backend/store.ts:27-28,74-75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deletedAt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string?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Map tombstone 时间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backend/store.ts:29,76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Arial Unicode MS" w:hAnsi="Arial Unicode MS" w:eastAsia="Arial Unicode MS"/>
          <w:b w:val="0"/>
          <w:color w:val="263238"/>
          <w:sz w:val="21"/>
        </w:rPr>
        <w:t>节点、关系、Run、Review、报告、lease 和 GraphReceipt 是该 Entity 的嵌入值，不对应独立集合。</w:t>
      </w:r>
      <w:r>
        <w:rPr>
          <w:rFonts w:ascii="Menlo" w:hAnsi="Menlo" w:eastAsia="Menlo"/>
          <w:b w:val="0"/>
          <w:color w:val="263238"/>
          <w:sz w:val="18"/>
          <w:noProof/>
        </w:rPr>
        <w:t>workspaceId</w:t>
      </w:r>
      <w:r>
        <w:rPr>
          <w:rFonts w:ascii="Arial Unicode MS" w:hAnsi="Arial Unicode MS" w:eastAsia="Arial Unicode MS"/>
          <w:b w:val="0"/>
          <w:color w:val="263238"/>
          <w:sz w:val="21"/>
        </w:rPr>
        <w:t xml:space="preserve"> 建索引；文档使用 8 MiB 软限制。</w:t>
      </w:r>
    </w:p>
    <w:p>
      <w:pPr>
        <w:pStyle w:val="Heading2"/>
      </w:pPr>
      <w:r>
        <w:t>A.2 用户（UserDocument，集合 `control_users`）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 w:val="true"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7D80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源码字段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7D80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源码类型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7D80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字段用途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7D80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声明位置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_id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用户业务标识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backend/auth.ts:8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displayName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展示名称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backend/auth.ts:8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hostAdmin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boolean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本机/共享配置管理权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backend/auth.ts:8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disabled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boolean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用户是否禁止登录与写入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backend/auth.ts:8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writeFence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number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与并发授权变更建立写冲突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backend/auth.ts:8</w:t>
            </w:r>
          </w:p>
        </w:tc>
      </w:tr>
    </w:tbl>
    <w:p>
      <w:pPr>
        <w:spacing w:after="40"/>
      </w:pPr>
    </w:p>
    <w:p>
      <w:pPr>
        <w:pStyle w:val="Heading2"/>
      </w:pPr>
      <w:r>
        <w:t>A.3 访问令牌（TokenDocument，集合 `control_tokens`）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 w:val="true"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7D80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源码字段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7D80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源码类型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7D80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字段用途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7D80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声明位置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_id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token 管理标识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backend/auth.ts:9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userId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关联用户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backend/auth.ts:9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hash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原 token 的 SHA-256；唯一索引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backend/auth.ts:9,41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revoked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boolean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是否永久撤销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backend/auth.ts:9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expiresAt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Date | null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到期时间；null 表示无显式到期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backend/auth.ts:9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createdAt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Date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签发时间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backend/auth.ts:9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writeFence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number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并发授权写围栏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backend/auth.ts:9</w:t>
            </w:r>
          </w:p>
        </w:tc>
      </w:tr>
    </w:tbl>
    <w:p>
      <w:pPr>
        <w:spacing w:after="40"/>
      </w:pPr>
    </w:p>
    <w:p>
      <w:pPr>
        <w:pStyle w:val="Heading2"/>
      </w:pPr>
      <w:r>
        <w:t>A.4 管理围栏（集合 `control_admin`）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 w:val="true"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7D80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源码字段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7D80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源码类型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7D80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字段用途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7D80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声明位置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_id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固定为 root 的全局管理记录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backend/auth.ts:14,43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writeFence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number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串行化用户管理事务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backend/auth.ts:14,70</w:t>
            </w:r>
          </w:p>
        </w:tc>
      </w:tr>
    </w:tbl>
    <w:p>
      <w:pPr>
        <w:spacing w:after="40"/>
      </w:pPr>
    </w:p>
    <w:p>
      <w:pPr>
        <w:pStyle w:val="Heading2"/>
      </w:pPr>
      <w:r>
        <w:t>A.5 工作区（WorkspaceDocument，集合 `control_workspaces`）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 w:val="true"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7D80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源码字段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7D80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源码类型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7D80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字段用途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7D80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声明位置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_id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Workspace 标识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backend/control.ts:16-17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name / description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名称与说明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backend/control.ts:17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revision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number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Workspace/Agent 副本 CAS 版本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backend/control.ts:17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members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Array&lt;{userId,role}&gt;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成员和 Owner/Editor/Viewer 角色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backend/control.ts:18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agents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AgentProfile[]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Workspace 私有 Agent 配置副本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backend/control.ts:18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receipts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ControlReceipt[]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管理命令回执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backend/control.ts:18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writeFence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number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权限和工具引用并发围栏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backend/control.ts:19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createdAt / updatedAt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创建和更新时间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backend/control.ts:19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deletedAt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string | null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Workspace tombstone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backend/control.ts:19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Arial Unicode MS" w:hAnsi="Arial Unicode MS" w:eastAsia="Arial Unicode MS"/>
          <w:b w:val="0"/>
          <w:color w:val="263238"/>
          <w:sz w:val="21"/>
        </w:rPr>
        <w:t>成员、AgentProfile 与 ControlReceipt 为嵌入值。成员用户标识、更新时间和主键组成查询索引。</w:t>
      </w:r>
    </w:p>
    <w:p>
      <w:pPr>
        <w:pStyle w:val="Heading2"/>
      </w:pPr>
      <w:r>
        <w:t>A.6 Agent 库（LibraryDocument，集合 `control_library`）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 w:val="true"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7D80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源码字段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7D80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源码类型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7D80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字段用途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7D80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声明位置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_id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固定 global 记录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backend/control.ts:21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revision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number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Agent 库 CAS 版本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backend/control.ts:21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agents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AgentProfile[]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可复制的共享 Agent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backend/control.ts:21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receipts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ControlReceipt[]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library 管理回执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backend/control.ts:21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writeFence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number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与复制/工具目录更新串行化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backend/control.ts:21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updatedAt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最后更新时间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backend/control.ts:21</w:t>
            </w:r>
          </w:p>
        </w:tc>
      </w:tr>
    </w:tbl>
    <w:p>
      <w:pPr>
        <w:spacing w:after="40"/>
      </w:pPr>
    </w:p>
    <w:p>
      <w:pPr>
        <w:pStyle w:val="Heading2"/>
      </w:pPr>
      <w:r>
        <w:t>A.7 集群设置（SettingsDocument，集合 `control_settings`）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 w:val="true"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7D80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源码字段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7D80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源码类型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7D80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字段用途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7D80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声明位置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_id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固定 global 记录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backend/control.ts:22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revision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number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设置 CAS 版本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contracts/control.ts:35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llm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{provider,model}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默认 DSH provider 与模型逻辑名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contracts/control.ts:37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tools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Array&lt;{name,description}&gt;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共享工具能力目录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contracts/control.ts:38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limits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{maxAgentSlots}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单次路由最大角度数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contracts/control.ts:39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receipts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ControlReceipt[]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设置更新回执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backend/control.ts:22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writeFence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number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工具引用并发围栏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backend/control.ts:22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updatedAt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最后更新时间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backend/control.ts:22</w:t>
            </w:r>
          </w:p>
        </w:tc>
      </w:tr>
    </w:tbl>
    <w:p>
      <w:pPr>
        <w:spacing w:after="40"/>
      </w:pPr>
    </w:p>
    <w:p>
      <w:pPr>
        <w:pStyle w:val="Heading2"/>
      </w:pPr>
      <w:r>
        <w:t>A.8 个人偏好（PreferencesDocument，集合 `control_preferences`）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 w:val="true"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7D80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源码字段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7D80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源码类型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7D80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字段用途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7D80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声明位置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_id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用户与 Workspace 组合主键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backend/control.ts:23,114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userId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偏好所有者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backend/control.ts:23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workspaceId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偏好作用域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contracts/control.ts:20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revision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number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本人偏好 CAS 版本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contracts/control.ts:20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openMapIds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string[]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打开的 Map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contracts/control.ts:20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currentMapId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string | null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当前 Map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contracts/control.ts:20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nodeSelection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Record&lt;string,string|null&gt;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每张图选中的节点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contracts/control.ts:21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receipts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ControlReceipt[]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偏好命令回执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backend/control.ts:23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enlo" w:hAnsi="Menlo" w:eastAsia="Menlo"/>
          <w:b w:val="0"/>
          <w:color w:val="263238"/>
          <w:sz w:val="18"/>
          <w:noProof/>
        </w:rPr>
        <w:t>userId+workspaceId</w:t>
      </w:r>
      <w:r>
        <w:rPr>
          <w:rFonts w:ascii="Arial Unicode MS" w:hAnsi="Arial Unicode MS" w:eastAsia="Arial Unicode MS"/>
          <w:b w:val="0"/>
          <w:color w:val="263238"/>
          <w:sz w:val="21"/>
        </w:rPr>
        <w:t xml:space="preserve"> 有唯一索引。</w:t>
      </w:r>
    </w:p>
    <w:p>
      <w:pPr>
        <w:pStyle w:val="Heading2"/>
      </w:pPr>
      <w:r>
        <w:t>A.9 资产元数据（AssetDocument，集合 `control_assets`）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 w:val="true"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7D80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源码字段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7D80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源码类型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7D80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字段用途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7D80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声明位置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_id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Asset 标识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backend/assets.ts:18-20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workspaceId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所属 Workspace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contracts/control.ts:49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filename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安全显示文件名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contracts/control.ts:49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mediaType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内容媒体类型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contracts/control.ts:49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size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number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原始字节长度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contracts/control.ts:49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sha256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内容摘要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contracts/control.ts:49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createdAt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ready 元数据创建时间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contracts/control.ts:49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blobId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ObjectId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GridFS blob 引用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backend/assets.ts:19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state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ready | deleted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可见性生命周期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backend/assets.ts:19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uploadKey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string?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上传幂等键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backend/assets.ts:20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inputHash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string?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上传规范化输入摘要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backend/assets.ts:20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deletedAt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string?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逻辑删除时间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backend/assets.ts:20</w:t>
            </w:r>
          </w:p>
        </w:tc>
      </w:tr>
    </w:tbl>
    <w:p>
      <w:pPr>
        <w:spacing w:after="40"/>
      </w:pPr>
    </w:p>
    <w:p>
      <w:pPr>
        <w:pStyle w:val="Heading2"/>
      </w:pPr>
      <w:r>
        <w:t>A.10 资产命令回执（AssetReceipt，集合 `asset_receipts`）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 w:val="true"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7D80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源码字段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7D80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源码类型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7D80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字段用途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7D80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声明位置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_id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用户、命令与请求组合摘要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backend/assets.ts:22-25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userId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发起用户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backend/assets.ts:23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hash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命令输入摘要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backend/assets.ts:23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workspaceId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幂等作用域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backend/assets.ts:23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data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ImportResult | 删除结果</w:t>
            </w:r>
          </w:p>
        </w:tc>
        <w:tc>
          <w:tcPr>
            <w:tcW w:type="dxa" w:w="3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7"/>
              </w:rPr>
              <w:t>重放时返回的业务结果</w:t>
            </w:r>
          </w:p>
        </w:tc>
        <w:tc>
          <w:tcPr>
            <w:tcW w:type="dxa" w:w="2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Menlo" w:hAnsi="Menlo" w:eastAsia="Menlo"/>
                <w:b w:val="0"/>
                <w:color w:val="263238"/>
                <w:sz w:val="17"/>
                <w:noProof/>
              </w:rPr>
              <w:t>backend/assets.ts:24</w:t>
            </w:r>
          </w:p>
        </w:tc>
      </w:tr>
    </w:tbl>
    <w:p>
      <w:pPr>
        <w:spacing w:after="40"/>
      </w:pPr>
    </w:p>
    <w:p>
      <w:pPr>
        <w:pStyle w:val="Heading1"/>
      </w:pPr>
      <w:r>
        <w:t>附录 B：术语与契约索引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26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7D80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69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7D80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6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8"/>
              </w:rPr>
              <w:t>Workspace</w:t>
            </w:r>
          </w:p>
        </w:tc>
        <w:tc>
          <w:tcPr>
            <w:tcW w:type="dxa" w:w="69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8"/>
              </w:rPr>
              <w:t>成员、数据图和 Agent 私有副本的协作边界</w:t>
            </w:r>
          </w:p>
        </w:tc>
      </w:tr>
      <w:tr>
        <w:trPr>
          <w:cantSplit/>
        </w:trPr>
        <w:tc>
          <w:tcPr>
            <w:tcW w:type="dxa" w:w="26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8"/>
              </w:rPr>
              <w:t>Map / Graph</w:t>
            </w:r>
          </w:p>
        </w:tc>
        <w:tc>
          <w:tcPr>
            <w:tcW w:type="dxa" w:w="69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8"/>
              </w:rPr>
              <w:t>同一个带整体版本的数据图对象</w:t>
            </w:r>
          </w:p>
        </w:tc>
      </w:tr>
      <w:tr>
        <w:trPr>
          <w:cantSplit/>
        </w:trPr>
        <w:tc>
          <w:tcPr>
            <w:tcW w:type="dxa" w:w="26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8"/>
              </w:rPr>
              <w:t>Run</w:t>
            </w:r>
          </w:p>
        </w:tc>
        <w:tc>
          <w:tcPr>
            <w:tcW w:type="dxa" w:w="69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8"/>
              </w:rPr>
              <w:t>对一个 Claim 的一次核查生命周期</w:t>
            </w:r>
          </w:p>
        </w:tc>
      </w:tr>
      <w:tr>
        <w:trPr>
          <w:cantSplit/>
        </w:trPr>
        <w:tc>
          <w:tcPr>
            <w:tcW w:type="dxa" w:w="26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8"/>
              </w:rPr>
              <w:t>Route</w:t>
            </w:r>
          </w:p>
        </w:tc>
        <w:tc>
          <w:tcPr>
            <w:tcW w:type="dxa" w:w="69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8"/>
              </w:rPr>
              <w:t>路由 Agent 生成并可由人修改的角度、Agent 和工具分配</w:t>
            </w:r>
          </w:p>
        </w:tc>
      </w:tr>
      <w:tr>
        <w:trPr>
          <w:cantSplit/>
        </w:trPr>
        <w:tc>
          <w:tcPr>
            <w:tcW w:type="dxa" w:w="26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8"/>
              </w:rPr>
              <w:t>Report</w:t>
            </w:r>
          </w:p>
        </w:tc>
        <w:tc>
          <w:tcPr>
            <w:tcW w:type="dxa" w:w="69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8"/>
              </w:rPr>
              <w:t>一个已批准角度对应的 worker 意见</w:t>
            </w:r>
          </w:p>
        </w:tc>
      </w:tr>
      <w:tr>
        <w:trPr>
          <w:cantSplit/>
        </w:trPr>
        <w:tc>
          <w:tcPr>
            <w:tcW w:type="dxa" w:w="26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8"/>
              </w:rPr>
              <w:t>Review</w:t>
            </w:r>
          </w:p>
        </w:tc>
        <w:tc>
          <w:tcPr>
            <w:tcW w:type="dxa" w:w="69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8"/>
              </w:rPr>
              <w:t>人工模式下 route 或 result 的版本化确认点</w:t>
            </w:r>
          </w:p>
        </w:tc>
      </w:tr>
      <w:tr>
        <w:trPr>
          <w:cantSplit/>
        </w:trPr>
        <w:tc>
          <w:tcPr>
            <w:tcW w:type="dxa" w:w="26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8"/>
              </w:rPr>
              <w:t>Grant / Lease</w:t>
            </w:r>
          </w:p>
        </w:tc>
        <w:tc>
          <w:tcPr>
            <w:tcW w:type="dxa" w:w="69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8"/>
              </w:rPr>
              <w:t>Host 对一项工作的临时所有权；由 holder、fence 和到期时间共同证明</w:t>
            </w:r>
          </w:p>
        </w:tc>
      </w:tr>
      <w:tr>
        <w:trPr>
          <w:cantSplit/>
        </w:trPr>
        <w:tc>
          <w:tcPr>
            <w:tcW w:type="dxa" w:w="26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8"/>
              </w:rPr>
              <w:t>Proposal</w:t>
            </w:r>
          </w:p>
        </w:tc>
        <w:tc>
          <w:tcPr>
            <w:tcW w:type="dxa" w:w="69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8"/>
              </w:rPr>
              <w:t>DSH 对 route、report 或 merge 的业务提交</w:t>
            </w:r>
          </w:p>
        </w:tc>
      </w:tr>
      <w:tr>
        <w:trPr>
          <w:cantSplit/>
        </w:trPr>
        <w:tc>
          <w:tcPr>
            <w:tcW w:type="dxa" w:w="26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8"/>
              </w:rPr>
              <w:t>DSH</w:t>
            </w:r>
          </w:p>
        </w:tc>
        <w:tc>
          <w:tcPr>
            <w:tcW w:type="dxa" w:w="69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8"/>
              </w:rPr>
              <w:t>承担单次 Agent/工具执行的外部运行层</w:t>
            </w:r>
          </w:p>
        </w:tc>
      </w:tr>
      <w:tr>
        <w:trPr>
          <w:cantSplit/>
        </w:trPr>
        <w:tc>
          <w:tcPr>
            <w:tcW w:type="dxa" w:w="26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8"/>
              </w:rPr>
              <w:t>requestId</w:t>
            </w:r>
          </w:p>
        </w:tc>
        <w:tc>
          <w:tcPr>
            <w:tcW w:type="dxa" w:w="69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8"/>
              </w:rPr>
              <w:t>用户命令稳定幂等标识；重试相同命令时保持不变</w:t>
            </w:r>
          </w:p>
        </w:tc>
      </w:tr>
      <w:tr>
        <w:trPr>
          <w:cantSplit/>
        </w:trPr>
        <w:tc>
          <w:tcPr>
            <w:tcW w:type="dxa" w:w="26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8"/>
              </w:rPr>
              <w:t>revision</w:t>
            </w:r>
          </w:p>
        </w:tc>
        <w:tc>
          <w:tcPr>
            <w:tcW w:type="dxa" w:w="69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8"/>
              </w:rPr>
              <w:t>Workspace、Map、Agent、Review 等对象的并发版本</w:t>
            </w:r>
          </w:p>
        </w:tc>
      </w:tr>
      <w:tr>
        <w:trPr>
          <w:cantSplit/>
        </w:trPr>
        <w:tc>
          <w:tcPr>
            <w:tcW w:type="dxa" w:w="26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8"/>
              </w:rPr>
              <w:t>score</w:t>
            </w:r>
          </w:p>
        </w:tc>
        <w:tc>
          <w:tcPr>
            <w:tcW w:type="dxa" w:w="69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BFB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3238"/>
                <w:sz w:val="18"/>
              </w:rPr>
              <w:t>0=不可信，0.5=不确定，1=可信；服务不自行投票重算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020" w:right="1134" w:bottom="96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 Unicode MS">
    <w:embedRegular r:id="rId1" w:fontKey="{5AF37BD0-BAA4-4CD1-9AF9-FF1CA6C5357E}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5F6B6D"/>
        <w:sz w:val="18"/>
      </w:rPr>
      <w:t xml:space="preserve">第 </w:t>
    </w:r>
    <w:fldSimple w:instr="PAGE"/>
    <w:r>
      <w:rPr>
        <w:rFonts w:ascii="Arial Unicode MS" w:hAnsi="Arial Unicode MS" w:eastAsia="Arial Unicode MS"/>
        <w:color w:val="5F6B6D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 w:eastAsia="Arial Unicode MS"/>
        <w:color w:val="000000"/>
        <w:sz w:val="17"/>
      </w:rPr>
      <w:t>重明图服务技术说明书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Arial Unicode MS" w:hAnsi="Arial Unicode MS" w:eastAsia="Arial Unicode MS"/>
      <w:color w:val="2632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2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 w:eastAsia="Arial Unicode MS"/>
      <w:b/>
      <w:bCs/>
      <w:color w:val="5F6B6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alUnicodeM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重明图服务技术说明书</dc:title>
  <dc:subject>Graph API、Host 与 DSH 工作适配器的技术说明</dc:subject>
  <dc:creator>重明项目组</dc:creator>
  <cp:keywords>重明, Graph API, Host, DSH, 技术说明书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