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新闻核查事件关键词征集说明</w:t>
      </w:r>
    </w:p>
    <w:p>
      <w:pPr>
        <w:pStyle w:val="Subtitle"/>
      </w:pPr>
      <w:r>
        <w:t>国内外事件线索　2026 年 9 月 25 日</w:t>
      </w:r>
    </w:p>
    <w:p>
      <w:r>
        <w:t>收集国内外公开传播、事实真实性或表述准确性值得核查的事件线索。范围说明用于帮助选题，提交仍为每个事件一行关键词。</w:t>
      </w:r>
    </w:p>
    <w:p>
      <w:pPr>
        <w:pStyle w:val="Heading1"/>
      </w:pPr>
      <w:r>
        <w:t>一 线索范围</w:t>
      </w:r>
    </w:p>
    <w:p>
      <w:pPr>
        <w:pStyle w:val="Heading2"/>
        <w:keepNext/>
        <w:spacing w:before="160" w:after="80" w:line="320" w:lineRule="exact"/>
      </w:pPr>
      <w:r>
        <w:rPr>
          <w:sz w:val="23"/>
        </w:rPr>
        <w:t>征集对象与典型线索</w:t>
      </w:r>
    </w:p>
    <w:p>
      <w:pPr>
        <w:spacing w:line="290" w:lineRule="exact" w:after="100"/>
      </w:pPr>
      <w:r>
        <w:rPr>
          <w:sz w:val="21"/>
        </w:rPr>
        <w:t>统一收集已公开传播、事实真实性或表述准确性值得核查的具体事件或说法。材料可以来自媒体报道、机构公开声明、个人账号、聊天群或短视频。关注的是其中的具体事实主张，不把整个事件笼统判为真实或虚假。</w:t>
      </w:r>
    </w:p>
    <w:p>
      <w:pPr>
        <w:spacing w:line="290" w:lineRule="exact" w:after="100"/>
      </w:pPr>
      <w:r>
        <w:rPr>
          <w:sz w:val="21"/>
        </w:rPr>
        <w:t>可关注的内容问题包括可能的事实虚构、关键事实错误、语境错配或关键条件遗漏。例如，把临时停产写成企业倒闭，把旧事故视频作为当天新事故传播，或误认当事人身份。这些是选题示例，不要求提交前证实错误。[1][7]</w:t>
      </w:r>
    </w:p>
    <w:p>
      <w:pPr>
        <w:spacing w:line="290" w:lineRule="exact" w:after="100"/>
      </w:pPr>
      <w:r>
        <w:rPr>
          <w:sz w:val="21"/>
        </w:rPr>
        <w:t>同一条说法在提交时可以已经得到核查，也可以仍无确定结论。“传言”指传播时尚未充分核实的说法，后续可能被证实、被否定或仍未解决；它描述的是核实状态，不等于内容必然虚假。[2][3]</w:t>
      </w:r>
    </w:p>
    <w:p>
      <w:pPr>
        <w:spacing w:line="290" w:lineRule="exact" w:after="100"/>
      </w:pPr>
      <w:r>
        <w:rPr>
          <w:sz w:val="21"/>
        </w:rPr>
        <w:t>同一事件还可能出现前后判断的变化。本说明将“反转或纠错”界定为：围绕同一对象、同一时段、同一事实，后续证据实质纠正此前明确提出的公开判断。它描述事件的演变过程，不与内容错误或待核实状态并列为互斥类别，也不要求所有线索都经历反转。该界定是结合纠错规范与时间证据思路采用的工作口径。[4][5]</w:t>
      </w:r>
    </w:p>
    <w:p>
      <w:pPr>
        <w:pStyle w:val="Heading2"/>
        <w:keepNext/>
        <w:spacing w:before="160" w:after="80" w:line="320" w:lineRule="exact"/>
      </w:pPr>
      <w:r>
        <w:rPr>
          <w:sz w:val="23"/>
        </w:rPr>
        <w:t>理解范围时的边界</w:t>
      </w:r>
    </w:p>
    <w:p>
      <w:pPr>
        <w:spacing w:line="290" w:lineRule="exact" w:after="100"/>
      </w:pPr>
      <w:r>
        <w:rPr>
          <w:sz w:val="21"/>
        </w:rPr>
        <w:t>准确转述不等于认同被转述内容。“某地发生爆炸”是在断言事实；“网上出现爆炸传言，尚未证实”可能准确报道了传言的存在。即使爆炸未发生，也不能据此认定所有转述都失实；被转述的爆炸说法本身仍可作为核查线索。标题删去保留条件、把未证实说法写成事实的情形，也在范围内。[3][4]</w:t>
      </w:r>
    </w:p>
    <w:p>
      <w:pPr>
        <w:spacing w:line="290" w:lineRule="exact" w:after="100"/>
      </w:pPr>
      <w:r>
        <w:rPr>
          <w:sz w:val="21"/>
        </w:rPr>
        <w:t>事实自然变化不等于先前判断被推翻。例如，道路上午封闭、下午恢复通行属于事态发展；视频起初被当作真实救助、后来证实为摆拍，才涉及既有事实判断被纠正。早期证据不足、后来得到确认可以作为核查线索，不必称作反转；单纯舆论态度变化也不算事实性反转。</w:t>
      </w:r>
    </w:p>
    <w:p>
      <w:pPr>
        <w:spacing w:line="290" w:lineRule="exact" w:after="100"/>
      </w:pPr>
      <w:r>
        <w:rPr>
          <w:sz w:val="21"/>
        </w:rPr>
        <w:t>传播范围不决定是否收集。个别媒体、机构或账号的实质性错误，与跨账号、跨平台流传的说法，都可提供，不要求上热搜或达到某种转发量。问题集中在某家媒体时，可把媒体名写入关键词。普通错别字、无关细节修订和纯粹观点分歧不作为重点。</w:t>
      </w:r>
    </w:p>
    <w:p>
      <w:pPr>
        <w:spacing w:line="290" w:lineRule="exact" w:after="100"/>
      </w:pPr>
      <w:r>
        <w:rPr>
          <w:sz w:val="21"/>
        </w:rPr>
        <w:t>上述说明用于帮助识别具体事件，不要求同学完成真假判断、传播规模判断或类别标注。暂不确定是否符合范围时，也可直接提供事件关键词。</w:t>
      </w:r>
    </w:p>
    <w:p>
      <w:pPr>
        <w:pStyle w:val="Heading2"/>
        <w:spacing w:before="160" w:after="80"/>
      </w:pPr>
      <w:r>
        <w:t>新闻领域提示</w:t>
      </w:r>
    </w:p>
    <w:p>
      <w:pPr>
        <w:spacing w:line="290" w:lineRule="exact" w:after="80"/>
      </w:pPr>
      <w:r>
        <w:rPr>
          <w:sz w:val="20"/>
        </w:rPr>
        <w:t>以下方向参考 Weibo21、CHEF 和 FineFake 的领域覆盖，并按本次选题需要归并。[6][8][9] 年份用于组织线索，领域仅作选题提示，不要求填写类别。</w:t>
      </w:r>
    </w:p>
    <w:p>
      <w:pPr>
        <w:spacing w:line="290" w:lineRule="exact" w:after="60"/>
      </w:pPr>
      <w:r>
        <w:rPr>
          <w:b/>
          <w:sz w:val="20"/>
        </w:rPr>
        <w:t>灾害事故与公共安全：</w:t>
      </w:r>
      <w:r>
        <w:rPr>
          <w:sz w:val="20"/>
        </w:rPr>
        <w:t>地震、洪水、交通事故、火灾、治安事件。</w:t>
      </w:r>
    </w:p>
    <w:p>
      <w:pPr>
        <w:spacing w:line="290" w:lineRule="exact" w:after="60"/>
      </w:pPr>
      <w:r>
        <w:rPr>
          <w:b/>
          <w:sz w:val="20"/>
        </w:rPr>
        <w:t>医疗健康与食品安全：</w:t>
      </w:r>
      <w:r>
        <w:rPr>
          <w:sz w:val="20"/>
        </w:rPr>
        <w:t>药物疗效、疾病传播、食品污染、健康功效。</w:t>
      </w:r>
    </w:p>
    <w:p>
      <w:pPr>
        <w:spacing w:line="290" w:lineRule="exact" w:after="60"/>
      </w:pPr>
      <w:r>
        <w:rPr>
          <w:b/>
          <w:sz w:val="20"/>
        </w:rPr>
        <w:t>经济金融与商业消费：</w:t>
      </w:r>
      <w:r>
        <w:rPr>
          <w:sz w:val="20"/>
        </w:rPr>
        <w:t>企业经营、金融市场、价格、产品和消费争议。</w:t>
      </w:r>
    </w:p>
    <w:p>
      <w:pPr>
        <w:spacing w:line="290" w:lineRule="exact" w:after="60"/>
      </w:pPr>
      <w:r>
        <w:rPr>
          <w:b/>
          <w:sz w:val="20"/>
        </w:rPr>
        <w:t>科学技术与生态环境：</w:t>
      </w:r>
      <w:r>
        <w:rPr>
          <w:sz w:val="20"/>
        </w:rPr>
        <w:t>科学发现、技术性能、气候、污染与生态。</w:t>
      </w:r>
    </w:p>
    <w:p>
      <w:pPr>
        <w:spacing w:line="290" w:lineRule="exact" w:after="60"/>
      </w:pPr>
      <w:r>
        <w:rPr>
          <w:b/>
          <w:sz w:val="20"/>
        </w:rPr>
        <w:t>社会民生与文体教育：</w:t>
      </w:r>
      <w:r>
        <w:rPr>
          <w:sz w:val="20"/>
        </w:rPr>
        <w:t>教育考试、就业、公益、文化娱乐和体育。</w:t>
      </w:r>
    </w:p>
    <w:p>
      <w:pPr>
        <w:spacing w:line="290" w:lineRule="exact" w:after="60"/>
      </w:pPr>
      <w:r>
        <w:rPr>
          <w:b/>
          <w:sz w:val="20"/>
        </w:rPr>
        <w:t>政治政策与军事外交：</w:t>
      </w:r>
      <w:r>
        <w:rPr>
          <w:sz w:val="20"/>
        </w:rPr>
        <w:t>政策表述、政治人物履职、外交和军事事件。</w:t>
      </w:r>
    </w:p>
    <w:p>
      <w:pPr>
        <w:pStyle w:val="Heading1"/>
        <w:pageBreakBefore/>
      </w:pPr>
      <w:r>
        <w:t>二 时间范围与数量建议</w:t>
      </w:r>
    </w:p>
    <w:p>
      <w:r>
        <w:t>以下为六个年份组及参考数量，国内外事件均可提交；具体参与量另行确定。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5102"/>
        <w:gridCol w:w="2835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5EDF5"/>
          </w:tcPr>
          <w:p>
            <w:pPr>
              <w:spacing w:line="280" w:lineRule="exact" w:after="0"/>
              <w:jc w:val="center"/>
            </w:pPr>
            <w:r>
              <w:rPr>
                <w:b/>
                <w:sz w:val="20"/>
              </w:rPr>
              <w:t>时间组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5EDF5"/>
          </w:tcPr>
          <w:p>
            <w:pPr>
              <w:spacing w:line="280" w:lineRule="exact" w:after="0"/>
            </w:pPr>
            <w:r>
              <w:rPr>
                <w:b/>
                <w:sz w:val="20"/>
              </w:rPr>
              <w:t>事件大致出现时间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5EDF5"/>
          </w:tcPr>
          <w:p>
            <w:pPr>
              <w:spacing w:line="280" w:lineRule="exact" w:after="0"/>
              <w:jc w:val="center"/>
            </w:pPr>
            <w:r>
              <w:rPr>
                <w:b/>
                <w:sz w:val="20"/>
              </w:rPr>
              <w:t>参考数量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0"/>
              </w:rPr>
              <w:t>2021 年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0"/>
              </w:rPr>
              <w:t>2021-01-01 至 2021-12-31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0"/>
              </w:rPr>
              <w:t>20—30 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0"/>
              </w:rPr>
              <w:t>2022 年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0"/>
              </w:rPr>
              <w:t>2022-01-01 至 2022-12-31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0"/>
              </w:rPr>
              <w:t>20—30 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0"/>
              </w:rPr>
              <w:t>2023 年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0"/>
              </w:rPr>
              <w:t>2023-01-01 至 2023-12-31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0"/>
              </w:rPr>
              <w:t>20—30 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0"/>
              </w:rPr>
              <w:t>2024 年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0"/>
              </w:rPr>
              <w:t>2024-01-01 至 2024-12-31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0"/>
              </w:rPr>
              <w:t>20—30 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0"/>
              </w:rPr>
              <w:t>2025 年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0"/>
              </w:rPr>
              <w:t>2025-01-01 至 2025-12-31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0"/>
              </w:rPr>
              <w:t>20—30 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0"/>
              </w:rPr>
              <w:t>2026 年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0"/>
              </w:rPr>
              <w:t>2026-01-01 至 2026-08-31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0"/>
              </w:rPr>
              <w:t>20—30 条</w:t>
            </w:r>
          </w:p>
        </w:tc>
      </w:tr>
    </w:tbl>
    <w:p>
      <w:pPr>
        <w:spacing w:line="80" w:lineRule="exact" w:after="0"/>
      </w:pPr>
      <w:r/>
    </w:p>
    <w:p>
      <w:r>
        <w:t>合计参考目标为 120—180 条。年份不确定时可省略，无需另行查证。</w:t>
      </w:r>
    </w:p>
    <w:p>
      <w:pPr>
        <w:pStyle w:val="Heading1"/>
        <w:pageBreakBefore w:val="0"/>
      </w:pPr>
      <w:r>
        <w:t>三 提交格式</w:t>
      </w:r>
    </w:p>
    <w:p>
      <w:r>
        <w:t>以文字列表提交，每个事件一行。只有“事件关键词”为必填内容，不需要另做表格。</w:t>
      </w:r>
    </w:p>
    <w:p>
      <w:r>
        <w:t>事件关键词｜年份：……｜地区：……｜链接：……</w:t>
      </w:r>
    </w:p>
    <w:p>
      <w:r>
        <w:rPr>
          <w:b/>
        </w:rPr>
        <w:t>必填：</w:t>
      </w:r>
      <w:r>
        <w:t>事件关键词或常用名称，能够通过搜索定位具体事件。</w:t>
      </w:r>
    </w:p>
    <w:p>
      <w:r>
        <w:rPr>
          <w:b/>
        </w:rPr>
        <w:t>选填：</w:t>
      </w:r>
      <w:r>
        <w:t>年份、地区、参考链接。已知的信息附在关键词后，用“｜”分隔并保留字段名；不清楚的字段直接省略，不留占位，也不需要专门查找。</w:t>
      </w:r>
    </w:p>
    <w:p>
      <w:pPr>
        <w:pStyle w:val="Heading1"/>
      </w:pPr>
      <w:r>
        <w:t>四 提交示例与注意事项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39"/>
        <w:gridCol w:w="1587"/>
        <w:gridCol w:w="1871"/>
        <w:gridCol w:w="2041"/>
      </w:tblGrid>
      <w:tr>
        <w:trPr>
          <w:tblHeader/>
          <w:cantSplit/>
        </w:trPr>
        <w:tc>
          <w:tcPr>
            <w:tcW w:type="dxa" w:w="4139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  <w:shd w:fill="E5EDF5"/>
          </w:tcPr>
          <w:p>
            <w:pPr>
              <w:spacing w:after="0" w:line="280" w:lineRule="exact"/>
              <w:jc w:val="left"/>
            </w:pPr>
            <w:r>
              <w:rPr>
                <w:b/>
                <w:sz w:val="20"/>
              </w:rPr>
              <w:t>事件关键词（必填）</w:t>
            </w:r>
          </w:p>
        </w:tc>
        <w:tc>
          <w:tcPr>
            <w:tcW w:type="dxa" w:w="1587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  <w:shd w:fill="E5EDF5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20"/>
              </w:rPr>
              <w:t>年份（选填）</w:t>
            </w:r>
          </w:p>
        </w:tc>
        <w:tc>
          <w:tcPr>
            <w:tcW w:type="dxa" w:w="1871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  <w:shd w:fill="E5EDF5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20"/>
              </w:rPr>
              <w:t>地区（选填）</w:t>
            </w:r>
          </w:p>
        </w:tc>
        <w:tc>
          <w:tcPr>
            <w:tcW w:type="dxa" w:w="2041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  <w:shd w:fill="E5EDF5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20"/>
              </w:rPr>
              <w:t>参考链接（选填）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0"/>
              </w:rPr>
              <w:t>江西工业职业技术学院 鼠头鸭脖</w:t>
            </w:r>
          </w:p>
        </w:tc>
        <w:tc>
          <w:tcPr>
            <w:tcW w:type="dxa" w:w="1587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2023</w:t>
            </w:r>
          </w:p>
        </w:tc>
        <w:tc>
          <w:tcPr>
            <w:tcW w:type="dxa" w:w="1871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中国江西</w:t>
            </w:r>
          </w:p>
        </w:tc>
        <w:tc>
          <w:tcPr>
            <w:tcW w:type="dxa" w:w="2041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0"/>
              </w:rPr>
              <w:t>五角大楼 爆炸 假图片</w:t>
            </w:r>
          </w:p>
        </w:tc>
        <w:tc>
          <w:tcPr>
            <w:tcW w:type="dxa" w:w="1587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2023</w:t>
            </w:r>
          </w:p>
        </w:tc>
        <w:tc>
          <w:tcPr>
            <w:tcW w:type="dxa" w:w="1871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美国阿灵顿</w:t>
            </w:r>
          </w:p>
        </w:tc>
        <w:tc>
          <w:tcPr>
            <w:tcW w:type="dxa" w:w="2041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—</w:t>
            </w:r>
          </w:p>
        </w:tc>
      </w:tr>
    </w:tbl>
    <w:p>
      <w:pPr>
        <w:spacing w:before="100"/>
      </w:pPr>
      <w:r>
        <w:t>表中“—”表示未附链接。示例以表格展示，实际仍可按一行一个事件提交；选填项未知时直接省略。</w:t>
      </w:r>
    </w:p>
    <w:p>
      <w:r>
        <w:t>同一事件只列一行；不同媒体报道、多个转载或多次反转不另列新事件，可把不同称呼合在同一行。避免只写“食品安全”“美国假新闻”等大主题。</w:t>
      </w:r>
    </w:p>
    <w:p>
      <w:r>
        <w:t>提交内容到事件关键词为止，不要求事件经过、报告、证据材料或真假结论。</w:t>
      </w:r>
    </w:p>
    <w:p>
      <w:pPr>
        <w:spacing w:line="20" w:lineRule="exact" w:after="0"/>
      </w:pPr>
      <w:r>
        <w:br w:type="page"/>
      </w:r>
    </w:p>
    <w:p>
      <w:pPr>
        <w:pStyle w:val="Heading1"/>
      </w:pPr>
      <w:r>
        <w:t>五 已有数据集示例</w:t>
      </w:r>
    </w:p>
    <w:p>
      <w:r>
        <w:t>以下例子说明相关研究收集哪些内容、如何区分不同情况。这里展示的是数据集的任务与标签，不是本次征集需要填写的字段。部分数据集包含较早年份的材料，本次事件仍按前述时间范围提供。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742"/>
        <w:gridCol w:w="4195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115" w:type="dxa"/>
              <w:bottom w:w="115" w:type="dxa"/>
              <w:left w:w="115" w:type="dxa"/>
              <w:right w:w="115" w:type="dxa"/>
            </w:tcMar>
            <w:shd w:fill="E5EDF5"/>
          </w:tcPr>
          <w:p>
            <w:pPr>
              <w:spacing w:line="290" w:lineRule="exact" w:after="0"/>
              <w:jc w:val="center"/>
            </w:pPr>
            <w:r>
              <w:rPr>
                <w:b/>
                <w:sz w:val="20"/>
              </w:rPr>
              <w:t>数据集</w:t>
            </w:r>
          </w:p>
        </w:tc>
        <w:tc>
          <w:tcPr>
            <w:tcW w:type="dxa" w:w="3742"/>
            <w:vAlign w:val="center"/>
            <w:tcMar>
              <w:top w:w="115" w:type="dxa"/>
              <w:bottom w:w="115" w:type="dxa"/>
              <w:left w:w="115" w:type="dxa"/>
              <w:right w:w="115" w:type="dxa"/>
            </w:tcMar>
            <w:shd w:fill="E5EDF5"/>
          </w:tcPr>
          <w:p>
            <w:pPr>
              <w:spacing w:line="290" w:lineRule="exact" w:after="0"/>
            </w:pPr>
            <w:r>
              <w:rPr>
                <w:b/>
                <w:sz w:val="20"/>
              </w:rPr>
              <w:t>已有数据如何处理</w:t>
            </w:r>
          </w:p>
        </w:tc>
        <w:tc>
          <w:tcPr>
            <w:tcW w:type="dxa" w:w="4195"/>
            <w:vAlign w:val="center"/>
            <w:tcMar>
              <w:top w:w="115" w:type="dxa"/>
              <w:bottom w:w="115" w:type="dxa"/>
              <w:left w:w="115" w:type="dxa"/>
              <w:right w:w="115" w:type="dxa"/>
            </w:tcMar>
            <w:shd w:fill="E5EDF5"/>
          </w:tcPr>
          <w:p>
            <w:pPr>
              <w:spacing w:line="290" w:lineRule="exact" w:after="0"/>
            </w:pPr>
            <w:r>
              <w:rPr>
                <w:b/>
                <w:sz w:val="20"/>
              </w:rPr>
              <w:t>对本次线索范围的启示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5" w:type="dxa"/>
              <w:bottom w:w="115" w:type="dxa"/>
              <w:left w:w="115" w:type="dxa"/>
              <w:right w:w="115" w:type="dxa"/>
            </w:tcMar>
          </w:tcPr>
          <w:p>
            <w:pPr>
              <w:spacing w:line="290" w:lineRule="exact" w:after="0"/>
              <w:jc w:val="center"/>
            </w:pPr>
            <w:r>
              <w:rPr>
                <w:b w:val="0"/>
                <w:sz w:val="20"/>
              </w:rPr>
              <w:t>CHEF</w:t>
              <w:br/>
              <w:t>中文 [6]</w:t>
            </w:r>
          </w:p>
        </w:tc>
        <w:tc>
          <w:tcPr>
            <w:tcW w:type="dxa" w:w="3742"/>
            <w:vAlign w:val="center"/>
            <w:tcMar>
              <w:top w:w="115" w:type="dxa"/>
              <w:bottom w:w="115" w:type="dxa"/>
              <w:left w:w="115" w:type="dxa"/>
              <w:right w:w="115" w:type="dxa"/>
            </w:tcMar>
          </w:tcPr>
          <w:p>
            <w:pPr>
              <w:spacing w:line="290" w:lineRule="exact" w:after="0"/>
            </w:pPr>
            <w:r>
              <w:rPr>
                <w:b w:val="0"/>
                <w:sz w:val="20"/>
              </w:rPr>
              <w:t>以中文真实世界主张及网页证据为单位，标签为支持、反驳、信息不足。</w:t>
            </w:r>
          </w:p>
        </w:tc>
        <w:tc>
          <w:tcPr>
            <w:tcW w:type="dxa" w:w="4195"/>
            <w:vAlign w:val="center"/>
            <w:tcMar>
              <w:top w:w="115" w:type="dxa"/>
              <w:bottom w:w="115" w:type="dxa"/>
              <w:left w:w="115" w:type="dxa"/>
              <w:right w:w="115" w:type="dxa"/>
            </w:tcMar>
          </w:tcPr>
          <w:p>
            <w:pPr>
              <w:spacing w:line="290" w:lineRule="exact" w:after="0"/>
            </w:pPr>
            <w:r>
              <w:rPr>
                <w:b w:val="0"/>
                <w:sz w:val="20"/>
              </w:rPr>
              <w:t>单条具体说法即可构成核查对象，不要求整篇新闻全假。其信息不足还包含部分真实、真假混合等情况，不能直接当成本项目统一标签。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5" w:type="dxa"/>
              <w:bottom w:w="115" w:type="dxa"/>
              <w:left w:w="115" w:type="dxa"/>
              <w:right w:w="115" w:type="dxa"/>
            </w:tcMar>
          </w:tcPr>
          <w:p>
            <w:pPr>
              <w:spacing w:line="290" w:lineRule="exact" w:after="0"/>
              <w:jc w:val="center"/>
            </w:pPr>
            <w:r>
              <w:rPr>
                <w:b w:val="0"/>
                <w:sz w:val="20"/>
              </w:rPr>
              <w:t>RumourEval</w:t>
              <w:br/>
              <w:t>英文 [3]</w:t>
            </w:r>
          </w:p>
        </w:tc>
        <w:tc>
          <w:tcPr>
            <w:tcW w:type="dxa" w:w="3742"/>
            <w:vAlign w:val="center"/>
            <w:tcMar>
              <w:top w:w="115" w:type="dxa"/>
              <w:bottom w:w="115" w:type="dxa"/>
              <w:left w:w="115" w:type="dxa"/>
              <w:right w:w="115" w:type="dxa"/>
            </w:tcMar>
          </w:tcPr>
          <w:p>
            <w:pPr>
              <w:spacing w:line="290" w:lineRule="exact" w:after="0"/>
            </w:pPr>
            <w:r>
              <w:rPr>
                <w:b w:val="0"/>
                <w:sz w:val="20"/>
              </w:rPr>
              <w:t>收集社交平台传言与讨论；真假状态为真、假、未核实，另标支持、否认、质疑、评论四种立场。</w:t>
            </w:r>
          </w:p>
        </w:tc>
        <w:tc>
          <w:tcPr>
            <w:tcW w:type="dxa" w:w="4195"/>
            <w:vAlign w:val="center"/>
            <w:tcMar>
              <w:top w:w="115" w:type="dxa"/>
              <w:bottom w:w="115" w:type="dxa"/>
              <w:left w:w="115" w:type="dxa"/>
              <w:right w:w="115" w:type="dxa"/>
            </w:tcMar>
          </w:tcPr>
          <w:p>
            <w:pPr>
              <w:spacing w:line="290" w:lineRule="exact" w:after="0"/>
            </w:pPr>
            <w:r>
              <w:rPr>
                <w:b w:val="0"/>
                <w:sz w:val="20"/>
              </w:rPr>
              <w:t>网络传言可以最后为真或仍未决；质疑、转述和辟谣不能一概视为认同原说法。转发与讨论本身也不证明事实成立。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5" w:type="dxa"/>
              <w:bottom w:w="115" w:type="dxa"/>
              <w:left w:w="115" w:type="dxa"/>
              <w:right w:w="115" w:type="dxa"/>
            </w:tcMar>
          </w:tcPr>
          <w:p>
            <w:pPr>
              <w:spacing w:line="290" w:lineRule="exact" w:after="0"/>
              <w:jc w:val="center"/>
            </w:pPr>
            <w:r>
              <w:rPr>
                <w:b w:val="0"/>
                <w:sz w:val="20"/>
              </w:rPr>
              <w:t>AVeriTeC</w:t>
              <w:br/>
              <w:t>英文 [7]</w:t>
            </w:r>
          </w:p>
        </w:tc>
        <w:tc>
          <w:tcPr>
            <w:tcW w:type="dxa" w:w="3742"/>
            <w:vAlign w:val="center"/>
            <w:tcMar>
              <w:top w:w="115" w:type="dxa"/>
              <w:bottom w:w="115" w:type="dxa"/>
              <w:left w:w="115" w:type="dxa"/>
              <w:right w:w="115" w:type="dxa"/>
            </w:tcMar>
          </w:tcPr>
          <w:p>
            <w:pPr>
              <w:spacing w:line="290" w:lineRule="exact" w:after="0"/>
            </w:pPr>
            <w:r>
              <w:rPr>
                <w:b w:val="0"/>
                <w:sz w:val="20"/>
              </w:rPr>
              <w:t>现实主张配网页证据，区分支持、反驳、证据不足，以及冲突证据或断章取义。</w:t>
            </w:r>
          </w:p>
        </w:tc>
        <w:tc>
          <w:tcPr>
            <w:tcW w:type="dxa" w:w="4195"/>
            <w:vAlign w:val="center"/>
            <w:tcMar>
              <w:top w:w="115" w:type="dxa"/>
              <w:bottom w:w="115" w:type="dxa"/>
              <w:left w:w="115" w:type="dxa"/>
              <w:right w:w="115" w:type="dxa"/>
            </w:tcMar>
          </w:tcPr>
          <w:p>
            <w:pPr>
              <w:spacing w:line="290" w:lineRule="exact" w:after="0"/>
            </w:pPr>
            <w:r>
              <w:rPr>
                <w:b w:val="0"/>
                <w:sz w:val="20"/>
              </w:rPr>
              <w:t>除明显错误外，遗漏关键背景等误导性说法也可提供线索。该数据集并非每条都是假新闻，也不是完整反转事件库。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5" w:type="dxa"/>
              <w:bottom w:w="115" w:type="dxa"/>
              <w:left w:w="115" w:type="dxa"/>
              <w:right w:w="115" w:type="dxa"/>
            </w:tcMar>
          </w:tcPr>
          <w:p>
            <w:pPr>
              <w:spacing w:line="290" w:lineRule="exact" w:after="0"/>
              <w:jc w:val="center"/>
            </w:pPr>
            <w:r>
              <w:rPr>
                <w:b w:val="0"/>
                <w:sz w:val="20"/>
              </w:rPr>
              <w:t>FineFake</w:t>
              <w:br/>
              <w:t>英文 [8]</w:t>
            </w:r>
          </w:p>
        </w:tc>
        <w:tc>
          <w:tcPr>
            <w:tcW w:type="dxa" w:w="3742"/>
            <w:vAlign w:val="center"/>
            <w:tcMar>
              <w:top w:w="115" w:type="dxa"/>
              <w:bottom w:w="115" w:type="dxa"/>
              <w:left w:w="115" w:type="dxa"/>
              <w:right w:w="115" w:type="dxa"/>
            </w:tcMar>
          </w:tcPr>
          <w:p>
            <w:pPr>
              <w:spacing w:line="290" w:lineRule="exact" w:after="0"/>
            </w:pPr>
            <w:r>
              <w:rPr>
                <w:b w:val="0"/>
                <w:sz w:val="20"/>
              </w:rPr>
              <w:t>同时处理文本、图片和相关知识，包含文字失实、图片失实、图文不一致、内容与知识不一致等细粒度标签。</w:t>
            </w:r>
          </w:p>
        </w:tc>
        <w:tc>
          <w:tcPr>
            <w:tcW w:type="dxa" w:w="4195"/>
            <w:vAlign w:val="center"/>
            <w:tcMar>
              <w:top w:w="115" w:type="dxa"/>
              <w:bottom w:w="115" w:type="dxa"/>
              <w:left w:w="115" w:type="dxa"/>
              <w:right w:w="115" w:type="dxa"/>
            </w:tcMar>
          </w:tcPr>
          <w:p>
            <w:pPr>
              <w:spacing w:line="290" w:lineRule="exact" w:after="0"/>
            </w:pPr>
            <w:r>
              <w:rPr>
                <w:b w:val="0"/>
                <w:sz w:val="20"/>
              </w:rPr>
              <w:t>图文错配、旧图被配上新事件等可纳入线索。图文不一致不等于图片经过伪造；主题分类与真假或错误类型分别记录。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5" w:type="dxa"/>
              <w:bottom w:w="115" w:type="dxa"/>
              <w:left w:w="115" w:type="dxa"/>
              <w:right w:w="115" w:type="dxa"/>
            </w:tcMar>
          </w:tcPr>
          <w:p>
            <w:pPr>
              <w:spacing w:line="290" w:lineRule="exact" w:after="0"/>
              <w:jc w:val="center"/>
            </w:pPr>
            <w:r>
              <w:rPr>
                <w:b w:val="0"/>
                <w:sz w:val="20"/>
              </w:rPr>
              <w:t>LiveFact</w:t>
              <w:br/>
              <w:t>英文 [5]</w:t>
            </w:r>
          </w:p>
        </w:tc>
        <w:tc>
          <w:tcPr>
            <w:tcW w:type="dxa" w:w="3742"/>
            <w:vAlign w:val="center"/>
            <w:tcMar>
              <w:top w:w="115" w:type="dxa"/>
              <w:bottom w:w="115" w:type="dxa"/>
              <w:left w:w="115" w:type="dxa"/>
              <w:right w:w="115" w:type="dxa"/>
            </w:tcMar>
          </w:tcPr>
          <w:p>
            <w:pPr>
              <w:spacing w:line="290" w:lineRule="exact" w:after="0"/>
            </w:pPr>
            <w:r>
              <w:rPr>
                <w:b w:val="0"/>
                <w:sz w:val="20"/>
              </w:rPr>
              <w:t>使用不同时点的证据，分别评估最终判断和根据当时证据能够作出的判断。</w:t>
            </w:r>
          </w:p>
        </w:tc>
        <w:tc>
          <w:tcPr>
            <w:tcW w:type="dxa" w:w="4195"/>
            <w:vAlign w:val="center"/>
            <w:tcMar>
              <w:top w:w="115" w:type="dxa"/>
              <w:bottom w:w="115" w:type="dxa"/>
              <w:left w:w="115" w:type="dxa"/>
              <w:right w:w="115" w:type="dxa"/>
            </w:tcMar>
          </w:tcPr>
          <w:p>
            <w:pPr>
              <w:spacing w:line="290" w:lineRule="exact" w:after="0"/>
            </w:pPr>
            <w:r>
              <w:rPr>
                <w:b w:val="0"/>
                <w:sz w:val="20"/>
              </w:rPr>
              <w:t>帮助区分证据不足、证据补全与既有结论被纠正。其主张由模型生成后人工复核，不全部是真实流传的新闻说法。</w:t>
            </w:r>
          </w:p>
        </w:tc>
      </w:tr>
    </w:tbl>
    <w:p>
      <w:r>
        <w:t>这些数据集提供的是不同角度的参考：CHEF 和 AVeriTeC 强调具体主张与证据，RumourEval 区分传言真假和讨论立场，FineFake 覆盖图文问题，LiveFact 展示时间因素。它们不构成统一的“反转新闻”分类标准。</w:t>
      </w:r>
    </w:p>
    <w:p>
      <w:r>
        <w:t>数据集中的标签名称仅用于解释范围。提交仍只需事件关键词，不要求下载数据、复现评测或完成标注。</w:t>
      </w:r>
    </w:p>
    <w:p>
      <w:pPr>
        <w:spacing w:line="20" w:lineRule="exact" w:after="0"/>
      </w:pPr>
      <w:r>
        <w:br w:type="page"/>
      </w:r>
    </w:p>
    <w:p>
      <w:pPr>
        <w:pStyle w:val="Heading1"/>
      </w:pPr>
      <w:r>
        <w:t>六 参考文献</w:t>
      </w:r>
    </w:p>
    <w:p>
      <w:r>
        <w:t>文献 [1]—[4] 对应线索范围中的概念与表达边界；[5]—[9] 补充数据集及领域提示。网页访问日期为 2026-09-25。</w:t>
      </w:r>
    </w:p>
    <w:p>
      <w:pPr>
        <w:keepNext/>
        <w:spacing w:line="270" w:lineRule="exact" w:after="40"/>
      </w:pPr>
      <w:r>
        <w:rPr>
          <w:sz w:val="19"/>
        </w:rPr>
        <w:t>[1] Wardle, C., &amp; Derakhshan, H. (2017). Information Disorder: Toward an interdisciplinary framework for research and policy making. Council of Europe report DGI(2017)09.</w:t>
      </w:r>
    </w:p>
    <w:p>
      <w:pPr>
        <w:keepNext w:val="0"/>
        <w:spacing w:line="240" w:lineRule="exact" w:after="160"/>
      </w:pPr>
      <w:hyperlink r:id="rId12">
        <w:r>
          <w:rPr>
            <w:color w:val="185A8D"/>
            <w:sz w:val="18"/>
          </w:rPr>
          <w:t>https://rm.coe.int/information-disorder-report-november-2017/1680764666</w:t>
        </w:r>
      </w:hyperlink>
    </w:p>
    <w:p>
      <w:pPr>
        <w:keepNext/>
        <w:spacing w:line="270" w:lineRule="exact" w:after="40"/>
      </w:pPr>
      <w:r>
        <w:rPr>
          <w:sz w:val="19"/>
        </w:rPr>
        <w:t>[2] Zubiaga, A., Aker, A., Bontcheva, K., Liakata, M., &amp; Procter, R. (2018). Detection and Resolution of Rumours in Social Media: A Survey. ACM Computing Surveys, 51(2), Article 32, 1–36. DOI: 10.1145/3161603.</w:t>
      </w:r>
    </w:p>
    <w:p>
      <w:pPr>
        <w:keepNext w:val="0"/>
        <w:spacing w:line="240" w:lineRule="exact" w:after="160"/>
      </w:pPr>
      <w:hyperlink r:id="rId10">
        <w:r>
          <w:rPr>
            <w:color w:val="185A8D"/>
            <w:sz w:val="18"/>
          </w:rPr>
          <w:t>https://arxiv.org/abs/1704.00656</w:t>
        </w:r>
      </w:hyperlink>
    </w:p>
    <w:p>
      <w:pPr>
        <w:keepNext/>
        <w:spacing w:line="270" w:lineRule="exact" w:after="40"/>
      </w:pPr>
      <w:r>
        <w:rPr>
          <w:sz w:val="19"/>
        </w:rPr>
        <w:t>[3] Gorrell, G., Kochkina, E., Liakata, M., et al. (2019). SemEval-2019 Task 7: RumourEval, Determining Rumour Veracity and Support for Rumours. Proceedings of the 13th International Workshop on Semantic Evaluation, 845–854. DOI: 10.18653/v1/S19-2147.</w:t>
      </w:r>
    </w:p>
    <w:p>
      <w:pPr>
        <w:keepNext w:val="0"/>
        <w:spacing w:line="240" w:lineRule="exact" w:after="160"/>
      </w:pPr>
      <w:hyperlink r:id="rId11">
        <w:r>
          <w:rPr>
            <w:color w:val="185A8D"/>
            <w:sz w:val="18"/>
          </w:rPr>
          <w:t>https://aclanthology.org/S19-2147/</w:t>
        </w:r>
      </w:hyperlink>
    </w:p>
    <w:p>
      <w:pPr>
        <w:keepNext/>
        <w:spacing w:line="270" w:lineRule="exact" w:after="40"/>
      </w:pPr>
      <w:r>
        <w:rPr>
          <w:sz w:val="19"/>
        </w:rPr>
        <w:t>[4] Reuters. Standards and Values. 新闻行业规范网页，提供来源归属、传言报道和透明纠错的参考。</w:t>
      </w:r>
    </w:p>
    <w:p>
      <w:pPr>
        <w:keepNext w:val="0"/>
        <w:spacing w:line="240" w:lineRule="exact" w:after="160"/>
      </w:pPr>
      <w:hyperlink r:id="rId13">
        <w:r>
          <w:rPr>
            <w:color w:val="185A8D"/>
            <w:sz w:val="18"/>
          </w:rPr>
          <w:t>https://reutersagency.com/about/standards-values/</w:t>
        </w:r>
      </w:hyperlink>
    </w:p>
    <w:p>
      <w:pPr>
        <w:keepNext/>
        <w:spacing w:line="270" w:lineRule="exact" w:after="40"/>
      </w:pPr>
      <w:r>
        <w:rPr>
          <w:sz w:val="19"/>
        </w:rPr>
        <w:t>[5] Xu, C., Jin, C., Niu, Y., et al. (2026). LiveFact: A Dynamic, Time-Aware Benchmark for LLM-Driven Fake News Detection. Proceedings of ACL 2026, Volume 1: Long Papers, 11881–11910. DOI: 10.18653/v1/2026.acl-long.546.</w:t>
      </w:r>
    </w:p>
    <w:p>
      <w:pPr>
        <w:keepNext w:val="0"/>
        <w:spacing w:line="240" w:lineRule="exact" w:after="160"/>
      </w:pPr>
      <w:hyperlink r:id="rId14">
        <w:r>
          <w:rPr>
            <w:color w:val="185A8D"/>
            <w:sz w:val="18"/>
          </w:rPr>
          <w:t>https://aclanthology.org/2026.acl-long.546/</w:t>
        </w:r>
      </w:hyperlink>
    </w:p>
    <w:p>
      <w:pPr>
        <w:keepNext/>
        <w:spacing w:line="270" w:lineRule="exact" w:after="40"/>
      </w:pPr>
      <w:r>
        <w:rPr>
          <w:sz w:val="19"/>
        </w:rPr>
        <w:t>[6] Hu, X., Guo, Z., Wu, G., Liu, A., Wen, L., &amp; Yu, P. (2022). CHEF: A Pilot Chinese Dataset for Evidence-Based Fact-Checking. Proceedings of NAACL-HLT 2022, 3362–3376. DOI: 10.18653/v1/2022.naacl-main.246.</w:t>
      </w:r>
    </w:p>
    <w:p>
      <w:pPr>
        <w:keepNext w:val="0"/>
        <w:spacing w:line="240" w:lineRule="exact" w:after="160"/>
      </w:pPr>
      <w:hyperlink r:id="rId15">
        <w:r>
          <w:rPr>
            <w:color w:val="185A8D"/>
            <w:sz w:val="18"/>
          </w:rPr>
          <w:t>https://aclanthology.org/2022.naacl-main.246/</w:t>
        </w:r>
      </w:hyperlink>
    </w:p>
    <w:p>
      <w:pPr>
        <w:keepNext/>
        <w:spacing w:line="270" w:lineRule="exact" w:after="40"/>
      </w:pPr>
      <w:r>
        <w:rPr>
          <w:sz w:val="19"/>
        </w:rPr>
        <w:t>[7] Schlichtkrull, M., Guo, Z., &amp; Vlachos, A. (2023). AVeriTeC: A Dataset for Real-world Claim Verification with Evidence from the Web. Advances in Neural Information Processing Systems, 36, 65128–65167. 官方数据页如下。</w:t>
      </w:r>
    </w:p>
    <w:p>
      <w:pPr>
        <w:keepNext w:val="0"/>
        <w:spacing w:line="240" w:lineRule="exact" w:after="160"/>
      </w:pPr>
      <w:hyperlink r:id="rId16">
        <w:r>
          <w:rPr>
            <w:color w:val="185A8D"/>
            <w:sz w:val="18"/>
          </w:rPr>
          <w:t>https://fever.ai/dataset/averitec.html</w:t>
        </w:r>
      </w:hyperlink>
    </w:p>
    <w:p>
      <w:pPr>
        <w:keepNext/>
        <w:spacing w:line="270" w:lineRule="exact" w:after="40"/>
      </w:pPr>
      <w:r>
        <w:rPr>
          <w:sz w:val="19"/>
        </w:rPr>
        <w:t>[8] Zhou, Z., Zhang, X., et al. (2024). FineFake: A Knowledge-Enriched Dataset for Fine-Grained Multi-Domain Fake News Detection. arXiv:2404.01336（预印本）；标签说明见官方仓库。</w:t>
      </w:r>
    </w:p>
    <w:p>
      <w:pPr>
        <w:keepNext/>
        <w:spacing w:line="240" w:lineRule="exact" w:after="40"/>
      </w:pPr>
      <w:hyperlink r:id="rId17">
        <w:r>
          <w:rPr>
            <w:color w:val="185A8D"/>
            <w:sz w:val="18"/>
          </w:rPr>
          <w:t>https://arxiv.org/abs/2404.01336</w:t>
        </w:r>
      </w:hyperlink>
    </w:p>
    <w:p>
      <w:pPr>
        <w:keepNext w:val="0"/>
        <w:spacing w:line="240" w:lineRule="exact" w:after="160"/>
      </w:pPr>
      <w:hyperlink r:id="rId18">
        <w:r>
          <w:rPr>
            <w:color w:val="185A8D"/>
            <w:sz w:val="18"/>
          </w:rPr>
          <w:t>https://github.com/Accuser907/FineFake</w:t>
        </w:r>
      </w:hyperlink>
    </w:p>
    <w:p>
      <w:pPr>
        <w:keepNext/>
        <w:spacing w:line="270" w:lineRule="exact" w:after="40"/>
      </w:pPr>
      <w:r>
        <w:rPr>
          <w:sz w:val="19"/>
        </w:rPr>
        <w:t>[9] Nan, Q., Cao, J., Zhu, Y., Wang, Y., &amp; Li, J. (2021). MDFEND: Multi-domain Fake News Detection. Proceedings of CIKM 2021. Weibo21 的领域标签见官方项目。</w:t>
      </w:r>
    </w:p>
    <w:p>
      <w:pPr>
        <w:spacing w:line="240" w:lineRule="exact"/>
      </w:pPr>
      <w:hyperlink r:id="rId19">
        <w:r>
          <w:rPr>
            <w:color w:val="185A8D"/>
            <w:sz w:val="18"/>
          </w:rPr>
          <w:t>https://github.com/kennqiang/MDFEND-Weibo21</w:t>
        </w:r>
      </w:hyperlink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0" w:lineRule="exact" w:after="100"/>
    </w:pPr>
    <w:rPr>
      <w:rFonts w:ascii="Arial Unicode MS" w:hAnsi="Arial Unicode MS" w:eastAsia="Arial Unicode MS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360" w:lineRule="exact"/>
      <w:outlineLvl w:val="0"/>
    </w:pPr>
    <w:rPr>
      <w:rFonts w:ascii="Arial Unicode MS" w:hAnsi="Arial Unicode MS" w:eastAsia="Arial Unicode MS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350" w:lineRule="exact"/>
      <w:outlineLvl w:val="1"/>
    </w:pPr>
    <w:rPr>
      <w:rFonts w:ascii="Arial Unicode MS" w:hAnsi="Arial Unicode MS" w:eastAsia="Arial Unicode MS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540" w:lineRule="exact"/>
      <w:contextualSpacing/>
    </w:pPr>
    <w:rPr>
      <w:rFonts w:ascii="Arial Unicode MS" w:hAnsi="Arial Unicode MS" w:eastAsia="Arial Unicode MS"/>
      <w:b/>
      <w:i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10" w:lineRule="exact" w:after="100"/>
    </w:pPr>
    <w:rPr>
      <w:rFonts w:ascii="Arial Unicode MS" w:hAnsi="Arial Unicode MS" w:eastAsia="Arial Unicode MS"/>
      <w:i w:val="0"/>
      <w:iCs/>
      <w:color w:val="000000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rxiv.org/abs/1704.00656" TargetMode="External"/><Relationship Id="rId11" Type="http://schemas.openxmlformats.org/officeDocument/2006/relationships/hyperlink" Target="https://aclanthology.org/S19-2147/" TargetMode="External"/><Relationship Id="rId12" Type="http://schemas.openxmlformats.org/officeDocument/2006/relationships/hyperlink" Target="https://rm.coe.int/information-disorder-report-november-2017/1680764666" TargetMode="External"/><Relationship Id="rId13" Type="http://schemas.openxmlformats.org/officeDocument/2006/relationships/hyperlink" Target="https://reutersagency.com/about/standards-values/" TargetMode="External"/><Relationship Id="rId14" Type="http://schemas.openxmlformats.org/officeDocument/2006/relationships/hyperlink" Target="https://aclanthology.org/2026.acl-long.546/" TargetMode="External"/><Relationship Id="rId15" Type="http://schemas.openxmlformats.org/officeDocument/2006/relationships/hyperlink" Target="https://aclanthology.org/2022.naacl-main.246/" TargetMode="External"/><Relationship Id="rId16" Type="http://schemas.openxmlformats.org/officeDocument/2006/relationships/hyperlink" Target="https://fever.ai/dataset/averitec.html" TargetMode="External"/><Relationship Id="rId17" Type="http://schemas.openxmlformats.org/officeDocument/2006/relationships/hyperlink" Target="https://arxiv.org/abs/2404.01336" TargetMode="External"/><Relationship Id="rId18" Type="http://schemas.openxmlformats.org/officeDocument/2006/relationships/hyperlink" Target="https://github.com/Accuser907/FineFake" TargetMode="External"/><Relationship Id="rId19" Type="http://schemas.openxmlformats.org/officeDocument/2006/relationships/hyperlink" Target="https://github.com/kennqiang/MDFEND-Weibo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新闻核查事件关键词征集说明</dc:title>
  <dc:subject>事件关键词征集范围 提交格式 数据集示例与参考文献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