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ASTRA APPLICATION</w:t>
      </w:r>
    </w:p>
    <w:p>
      <w:pPr>
        <w:jc w:val="center"/>
      </w:pPr>
      <w:r>
        <w:rPr>
          <w:b/>
          <w:sz w:val="24"/>
        </w:rPr>
        <w:t>PROBLEM MANAGEMENT AND CLIENT POLICY VIOLATIONS</w:t>
      </w:r>
    </w:p>
    <w:p>
      <w:r>
        <w:t>Astra Application connects clients who need household repairs or other services with service providers. Problems may arise during registration, booking, payment, or service delivery. The company should have clear procedures to resolve these problems fairly and protect both clients and service providers.</w:t>
      </w:r>
    </w:p>
    <w:p>
      <w:pPr>
        <w:pStyle w:val="Heading1"/>
      </w:pPr>
      <w:r>
        <w:t>1. Problems That May Arise and Suitable Solutions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1F4E79"/>
          </w:tcPr>
          <w:p>
            <w:pPr>
              <w:spacing w:after="40"/>
            </w:pPr>
            <w:r/>
            <w:r>
              <w:rPr>
                <w:rFonts w:ascii="Arial" w:hAnsi="Arial"/>
                <w:b/>
                <w:color w:val="FFFFFF"/>
                <w:sz w:val="18"/>
              </w:rPr>
              <w:t>No.</w:t>
            </w:r>
          </w:p>
        </w:tc>
        <w:tc>
          <w:tcPr>
            <w:tcW w:type="dxa" w:w="3408"/>
            <w:vAlign w:val="center"/>
            <w:shd w:fill="1F4E79"/>
          </w:tcPr>
          <w:p>
            <w:pPr>
              <w:spacing w:after="40"/>
            </w:pPr>
            <w:r/>
            <w:r>
              <w:rPr>
                <w:rFonts w:ascii="Arial" w:hAnsi="Arial"/>
                <w:b/>
                <w:color w:val="FFFFFF"/>
                <w:sz w:val="18"/>
              </w:rPr>
              <w:t>Problem</w:t>
            </w:r>
          </w:p>
        </w:tc>
        <w:tc>
          <w:tcPr>
            <w:tcW w:type="dxa" w:w="3408"/>
            <w:vAlign w:val="center"/>
            <w:shd w:fill="1F4E79"/>
          </w:tcPr>
          <w:p>
            <w:pPr>
              <w:spacing w:after="40"/>
            </w:pPr>
            <w:r/>
            <w:r>
              <w:rPr>
                <w:rFonts w:ascii="Arial" w:hAnsi="Arial"/>
                <w:b/>
                <w:color w:val="FFFFFF"/>
                <w:sz w:val="18"/>
              </w:rPr>
              <w:t>Suitable solution</w:t>
            </w:r>
          </w:p>
        </w:tc>
      </w:tr>
      <w:tr>
        <w:tc>
          <w:tcPr>
            <w:tcW w:type="dxa" w:w="3408"/>
            <w:vAlign w:val="center"/>
          </w:tcPr>
          <w:p>
            <w:pPr>
              <w:spacing w:after="40"/>
            </w:pPr>
            <w:r/>
            <w:r>
              <w:rPr>
                <w:rFonts w:ascii="Arial" w:hAnsi="Arial"/>
                <w:b w:val="0"/>
                <w:sz w:val="18"/>
              </w:rPr>
              <w:t>1</w:t>
            </w:r>
          </w:p>
        </w:tc>
        <w:tc>
          <w:tcPr>
            <w:tcW w:type="dxa" w:w="3408"/>
            <w:vAlign w:val="center"/>
          </w:tcPr>
          <w:p>
            <w:pPr>
              <w:spacing w:after="40"/>
            </w:pPr>
            <w:r/>
            <w:r>
              <w:rPr>
                <w:rFonts w:ascii="Arial" w:hAnsi="Arial"/>
                <w:b w:val="0"/>
                <w:sz w:val="18"/>
              </w:rPr>
              <w:t>A service provider arrives late.</w:t>
            </w:r>
          </w:p>
        </w:tc>
        <w:tc>
          <w:tcPr>
            <w:tcW w:type="dxa" w:w="3408"/>
            <w:vAlign w:val="center"/>
          </w:tcPr>
          <w:p>
            <w:pPr>
              <w:spacing w:after="40"/>
            </w:pPr>
            <w:r/>
            <w:r>
              <w:rPr>
                <w:rFonts w:ascii="Arial" w:hAnsi="Arial"/>
                <w:b w:val="0"/>
                <w:sz w:val="18"/>
              </w:rPr>
              <w:t>Contact the provider, inform the client, explain the delay, and arrange a new time if needed.</w:t>
            </w:r>
          </w:p>
        </w:tc>
      </w:tr>
      <w:tr>
        <w:tc>
          <w:tcPr>
            <w:tcW w:type="dxa" w:w="3408"/>
            <w:vAlign w:val="center"/>
            <w:shd w:fill="EAF1F8"/>
          </w:tcPr>
          <w:p>
            <w:pPr>
              <w:spacing w:after="40"/>
            </w:pPr>
            <w:r/>
            <w:r>
              <w:rPr>
                <w:rFonts w:ascii="Arial" w:hAnsi="Arial"/>
                <w:b w:val="0"/>
                <w:sz w:val="18"/>
              </w:rPr>
              <w:t>2</w:t>
            </w:r>
          </w:p>
        </w:tc>
        <w:tc>
          <w:tcPr>
            <w:tcW w:type="dxa" w:w="3408"/>
            <w:vAlign w:val="center"/>
            <w:shd w:fill="EAF1F8"/>
          </w:tcPr>
          <w:p>
            <w:pPr>
              <w:spacing w:after="40"/>
            </w:pPr>
            <w:r/>
            <w:r>
              <w:rPr>
                <w:rFonts w:ascii="Arial" w:hAnsi="Arial"/>
                <w:b w:val="0"/>
                <w:sz w:val="18"/>
              </w:rPr>
              <w:t>A service provider fails to arrive.</w:t>
            </w:r>
          </w:p>
        </w:tc>
        <w:tc>
          <w:tcPr>
            <w:tcW w:type="dxa" w:w="3408"/>
            <w:vAlign w:val="center"/>
            <w:shd w:fill="EAF1F8"/>
          </w:tcPr>
          <w:p>
            <w:pPr>
              <w:spacing w:after="40"/>
            </w:pPr>
            <w:r/>
            <w:r>
              <w:rPr>
                <w:rFonts w:ascii="Arial" w:hAnsi="Arial"/>
                <w:b w:val="0"/>
                <w:sz w:val="18"/>
              </w:rPr>
              <w:t>Contact the provider, arrange a replacement, or allow cancellation without a penalty where appropriate.</w:t>
            </w:r>
          </w:p>
        </w:tc>
      </w:tr>
      <w:tr>
        <w:tc>
          <w:tcPr>
            <w:tcW w:type="dxa" w:w="3408"/>
            <w:vAlign w:val="center"/>
          </w:tcPr>
          <w:p>
            <w:pPr>
              <w:spacing w:after="40"/>
            </w:pPr>
            <w:r/>
            <w:r>
              <w:rPr>
                <w:rFonts w:ascii="Arial" w:hAnsi="Arial"/>
                <w:b w:val="0"/>
                <w:sz w:val="18"/>
              </w:rPr>
              <w:t>3</w:t>
            </w:r>
          </w:p>
        </w:tc>
        <w:tc>
          <w:tcPr>
            <w:tcW w:type="dxa" w:w="3408"/>
            <w:vAlign w:val="center"/>
          </w:tcPr>
          <w:p>
            <w:pPr>
              <w:spacing w:after="40"/>
            </w:pPr>
            <w:r/>
            <w:r>
              <w:rPr>
                <w:rFonts w:ascii="Arial" w:hAnsi="Arial"/>
                <w:b w:val="0"/>
                <w:sz w:val="18"/>
              </w:rPr>
              <w:t>A client cancels at the last minute.</w:t>
            </w:r>
          </w:p>
        </w:tc>
        <w:tc>
          <w:tcPr>
            <w:tcW w:type="dxa" w:w="3408"/>
            <w:vAlign w:val="center"/>
          </w:tcPr>
          <w:p>
            <w:pPr>
              <w:spacing w:after="40"/>
            </w:pPr>
            <w:r/>
            <w:r>
              <w:rPr>
                <w:rFonts w:ascii="Arial" w:hAnsi="Arial"/>
                <w:b w:val="0"/>
                <w:sz w:val="18"/>
              </w:rPr>
              <w:t>Apply the disclosed cancellation policy if lawful; waive the fee when justified by an emergency.</w:t>
            </w:r>
          </w:p>
        </w:tc>
      </w:tr>
      <w:tr>
        <w:tc>
          <w:tcPr>
            <w:tcW w:type="dxa" w:w="3408"/>
            <w:vAlign w:val="center"/>
            <w:shd w:fill="EAF1F8"/>
          </w:tcPr>
          <w:p>
            <w:pPr>
              <w:spacing w:after="40"/>
            </w:pPr>
            <w:r/>
            <w:r>
              <w:rPr>
                <w:rFonts w:ascii="Arial" w:hAnsi="Arial"/>
                <w:b w:val="0"/>
                <w:sz w:val="18"/>
              </w:rPr>
              <w:t>4</w:t>
            </w:r>
          </w:p>
        </w:tc>
        <w:tc>
          <w:tcPr>
            <w:tcW w:type="dxa" w:w="3408"/>
            <w:vAlign w:val="center"/>
            <w:shd w:fill="EAF1F8"/>
          </w:tcPr>
          <w:p>
            <w:pPr>
              <w:spacing w:after="40"/>
            </w:pPr>
            <w:r/>
            <w:r>
              <w:rPr>
                <w:rFonts w:ascii="Arial" w:hAnsi="Arial"/>
                <w:b w:val="0"/>
                <w:sz w:val="18"/>
              </w:rPr>
              <w:t>A client refuses to pay after completed work.</w:t>
            </w:r>
          </w:p>
        </w:tc>
        <w:tc>
          <w:tcPr>
            <w:tcW w:type="dxa" w:w="3408"/>
            <w:vAlign w:val="center"/>
            <w:shd w:fill="EAF1F8"/>
          </w:tcPr>
          <w:p>
            <w:pPr>
              <w:spacing w:after="40"/>
            </w:pPr>
            <w:r/>
            <w:r>
              <w:rPr>
                <w:rFonts w:ascii="Arial" w:hAnsi="Arial"/>
                <w:b w:val="0"/>
                <w:sz w:val="18"/>
              </w:rPr>
              <w:t>Check the agreed price and proof of completion, hear the client’s explanation, and seek a fair resolution.</w:t>
            </w:r>
          </w:p>
        </w:tc>
      </w:tr>
      <w:tr>
        <w:tc>
          <w:tcPr>
            <w:tcW w:type="dxa" w:w="3408"/>
            <w:vAlign w:val="center"/>
          </w:tcPr>
          <w:p>
            <w:pPr>
              <w:spacing w:after="40"/>
            </w:pPr>
            <w:r/>
            <w:r>
              <w:rPr>
                <w:rFonts w:ascii="Arial" w:hAnsi="Arial"/>
                <w:b w:val="0"/>
                <w:sz w:val="18"/>
              </w:rPr>
              <w:t>5</w:t>
            </w:r>
          </w:p>
        </w:tc>
        <w:tc>
          <w:tcPr>
            <w:tcW w:type="dxa" w:w="3408"/>
            <w:vAlign w:val="center"/>
          </w:tcPr>
          <w:p>
            <w:pPr>
              <w:spacing w:after="40"/>
            </w:pPr>
            <w:r/>
            <w:r>
              <w:rPr>
                <w:rFonts w:ascii="Arial" w:hAnsi="Arial"/>
                <w:b w:val="0"/>
                <w:sz w:val="18"/>
              </w:rPr>
              <w:t>A client complains about poor-quality work.</w:t>
            </w:r>
          </w:p>
        </w:tc>
        <w:tc>
          <w:tcPr>
            <w:tcW w:type="dxa" w:w="3408"/>
            <w:vAlign w:val="center"/>
          </w:tcPr>
          <w:p>
            <w:pPr>
              <w:spacing w:after="40"/>
            </w:pPr>
            <w:r/>
            <w:r>
              <w:rPr>
                <w:rFonts w:ascii="Arial" w:hAnsi="Arial"/>
                <w:b w:val="0"/>
                <w:sz w:val="18"/>
              </w:rPr>
              <w:t>Review the complaint and evidence; arrange correction, a partial refund, or another fair remedy where justified.</w:t>
            </w:r>
          </w:p>
        </w:tc>
      </w:tr>
      <w:tr>
        <w:tc>
          <w:tcPr>
            <w:tcW w:type="dxa" w:w="3408"/>
            <w:vAlign w:val="center"/>
            <w:shd w:fill="EAF1F8"/>
          </w:tcPr>
          <w:p>
            <w:pPr>
              <w:spacing w:after="40"/>
            </w:pPr>
            <w:r/>
            <w:r>
              <w:rPr>
                <w:rFonts w:ascii="Arial" w:hAnsi="Arial"/>
                <w:b w:val="0"/>
                <w:sz w:val="18"/>
              </w:rPr>
              <w:t>6</w:t>
            </w:r>
          </w:p>
        </w:tc>
        <w:tc>
          <w:tcPr>
            <w:tcW w:type="dxa" w:w="3408"/>
            <w:vAlign w:val="center"/>
            <w:shd w:fill="EAF1F8"/>
          </w:tcPr>
          <w:p>
            <w:pPr>
              <w:spacing w:after="40"/>
            </w:pPr>
            <w:r/>
            <w:r>
              <w:rPr>
                <w:rFonts w:ascii="Arial" w:hAnsi="Arial"/>
                <w:b w:val="0"/>
                <w:sz w:val="18"/>
              </w:rPr>
              <w:t>A provider charges more than agreed.</w:t>
            </w:r>
          </w:p>
        </w:tc>
        <w:tc>
          <w:tcPr>
            <w:tcW w:type="dxa" w:w="3408"/>
            <w:vAlign w:val="center"/>
            <w:shd w:fill="EAF1F8"/>
          </w:tcPr>
          <w:p>
            <w:pPr>
              <w:spacing w:after="40"/>
            </w:pPr>
            <w:r/>
            <w:r>
              <w:rPr>
                <w:rFonts w:ascii="Arial" w:hAnsi="Arial"/>
                <w:b w:val="0"/>
                <w:sz w:val="18"/>
              </w:rPr>
              <w:t>Check the original quotation and require client approval for additional work or charges.</w:t>
            </w:r>
          </w:p>
        </w:tc>
      </w:tr>
      <w:tr>
        <w:tc>
          <w:tcPr>
            <w:tcW w:type="dxa" w:w="3408"/>
            <w:vAlign w:val="center"/>
          </w:tcPr>
          <w:p>
            <w:pPr>
              <w:spacing w:after="40"/>
            </w:pPr>
            <w:r/>
            <w:r>
              <w:rPr>
                <w:rFonts w:ascii="Arial" w:hAnsi="Arial"/>
                <w:b w:val="0"/>
                <w:sz w:val="18"/>
              </w:rPr>
              <w:t>7</w:t>
            </w:r>
          </w:p>
        </w:tc>
        <w:tc>
          <w:tcPr>
            <w:tcW w:type="dxa" w:w="3408"/>
            <w:vAlign w:val="center"/>
          </w:tcPr>
          <w:p>
            <w:pPr>
              <w:spacing w:after="40"/>
            </w:pPr>
            <w:r/>
            <w:r>
              <w:rPr>
                <w:rFonts w:ascii="Arial" w:hAnsi="Arial"/>
                <w:b w:val="0"/>
                <w:sz w:val="18"/>
              </w:rPr>
              <w:t>A client damages property or equipment.</w:t>
            </w:r>
          </w:p>
        </w:tc>
        <w:tc>
          <w:tcPr>
            <w:tcW w:type="dxa" w:w="3408"/>
            <w:vAlign w:val="center"/>
          </w:tcPr>
          <w:p>
            <w:pPr>
              <w:spacing w:after="40"/>
            </w:pPr>
            <w:r/>
            <w:r>
              <w:rPr>
                <w:rFonts w:ascii="Arial" w:hAnsi="Arial"/>
                <w:b w:val="0"/>
                <w:sz w:val="18"/>
              </w:rPr>
              <w:t>Investigate the incident and seek a fair repair or replacement arrangement if responsibility is established.</w:t>
            </w:r>
          </w:p>
        </w:tc>
      </w:tr>
      <w:tr>
        <w:tc>
          <w:tcPr>
            <w:tcW w:type="dxa" w:w="3408"/>
            <w:vAlign w:val="center"/>
            <w:shd w:fill="EAF1F8"/>
          </w:tcPr>
          <w:p>
            <w:pPr>
              <w:spacing w:after="40"/>
            </w:pPr>
            <w:r/>
            <w:r>
              <w:rPr>
                <w:rFonts w:ascii="Arial" w:hAnsi="Arial"/>
                <w:b w:val="0"/>
                <w:sz w:val="18"/>
              </w:rPr>
              <w:t>8</w:t>
            </w:r>
          </w:p>
        </w:tc>
        <w:tc>
          <w:tcPr>
            <w:tcW w:type="dxa" w:w="3408"/>
            <w:vAlign w:val="center"/>
            <w:shd w:fill="EAF1F8"/>
          </w:tcPr>
          <w:p>
            <w:pPr>
              <w:spacing w:after="40"/>
            </w:pPr>
            <w:r/>
            <w:r>
              <w:rPr>
                <w:rFonts w:ascii="Arial" w:hAnsi="Arial"/>
                <w:b w:val="0"/>
                <w:sz w:val="18"/>
              </w:rPr>
              <w:t>A client or provider threatens or abuses someone.</w:t>
            </w:r>
          </w:p>
        </w:tc>
        <w:tc>
          <w:tcPr>
            <w:tcW w:type="dxa" w:w="3408"/>
            <w:vAlign w:val="center"/>
            <w:shd w:fill="EAF1F8"/>
          </w:tcPr>
          <w:p>
            <w:pPr>
              <w:spacing w:after="40"/>
            </w:pPr>
            <w:r/>
            <w:r>
              <w:rPr>
                <w:rFonts w:ascii="Arial" w:hAnsi="Arial"/>
                <w:b w:val="0"/>
                <w:sz w:val="18"/>
              </w:rPr>
              <w:t>Stop the interaction, preserve evidence, and restrict access while investigating. Report serious threats when appropriate.</w:t>
            </w:r>
          </w:p>
        </w:tc>
      </w:tr>
      <w:tr>
        <w:tc>
          <w:tcPr>
            <w:tcW w:type="dxa" w:w="3408"/>
            <w:vAlign w:val="center"/>
          </w:tcPr>
          <w:p>
            <w:pPr>
              <w:spacing w:after="40"/>
            </w:pPr>
            <w:r/>
            <w:r>
              <w:rPr>
                <w:rFonts w:ascii="Arial" w:hAnsi="Arial"/>
                <w:b w:val="0"/>
                <w:sz w:val="18"/>
              </w:rPr>
              <w:t>9</w:t>
            </w:r>
          </w:p>
        </w:tc>
        <w:tc>
          <w:tcPr>
            <w:tcW w:type="dxa" w:w="3408"/>
            <w:vAlign w:val="center"/>
          </w:tcPr>
          <w:p>
            <w:pPr>
              <w:spacing w:after="40"/>
            </w:pPr>
            <w:r/>
            <w:r>
              <w:rPr>
                <w:rFonts w:ascii="Arial" w:hAnsi="Arial"/>
                <w:b w:val="0"/>
                <w:sz w:val="18"/>
              </w:rPr>
              <w:t>A client makes a false complaint.</w:t>
            </w:r>
          </w:p>
        </w:tc>
        <w:tc>
          <w:tcPr>
            <w:tcW w:type="dxa" w:w="3408"/>
            <w:vAlign w:val="center"/>
          </w:tcPr>
          <w:p>
            <w:pPr>
              <w:spacing w:after="40"/>
            </w:pPr>
            <w:r/>
            <w:r>
              <w:rPr>
                <w:rFonts w:ascii="Arial" w:hAnsi="Arial"/>
                <w:b w:val="0"/>
                <w:sz w:val="18"/>
              </w:rPr>
              <w:t>Investigate both sides and take action only if the complaint is shown to be deliberately false.</w:t>
            </w:r>
          </w:p>
        </w:tc>
      </w:tr>
      <w:tr>
        <w:tc>
          <w:tcPr>
            <w:tcW w:type="dxa" w:w="3408"/>
            <w:vAlign w:val="center"/>
            <w:shd w:fill="EAF1F8"/>
          </w:tcPr>
          <w:p>
            <w:pPr>
              <w:spacing w:after="40"/>
            </w:pPr>
            <w:r/>
            <w:r>
              <w:rPr>
                <w:rFonts w:ascii="Arial" w:hAnsi="Arial"/>
                <w:b w:val="0"/>
                <w:sz w:val="18"/>
              </w:rPr>
              <w:t>10</w:t>
            </w:r>
          </w:p>
        </w:tc>
        <w:tc>
          <w:tcPr>
            <w:tcW w:type="dxa" w:w="3408"/>
            <w:vAlign w:val="center"/>
            <w:shd w:fill="EAF1F8"/>
          </w:tcPr>
          <w:p>
            <w:pPr>
              <w:spacing w:after="40"/>
            </w:pPr>
            <w:r/>
            <w:r>
              <w:rPr>
                <w:rFonts w:ascii="Arial" w:hAnsi="Arial"/>
                <w:b w:val="0"/>
                <w:sz w:val="18"/>
              </w:rPr>
              <w:t>The application experiences a technical problem.</w:t>
            </w:r>
          </w:p>
        </w:tc>
        <w:tc>
          <w:tcPr>
            <w:tcW w:type="dxa" w:w="3408"/>
            <w:vAlign w:val="center"/>
            <w:shd w:fill="EAF1F8"/>
          </w:tcPr>
          <w:p>
            <w:pPr>
              <w:spacing w:after="40"/>
            </w:pPr>
            <w:r/>
            <w:r>
              <w:rPr>
                <w:rFonts w:ascii="Arial" w:hAnsi="Arial"/>
                <w:b w:val="0"/>
                <w:sz w:val="18"/>
              </w:rPr>
              <w:t>Notify affected users, fix the fault, protect user information, and provide another contact method if needed.</w:t>
            </w:r>
          </w:p>
        </w:tc>
      </w:tr>
      <w:tr>
        <w:tc>
          <w:tcPr>
            <w:tcW w:type="dxa" w:w="3408"/>
            <w:vAlign w:val="center"/>
          </w:tcPr>
          <w:p>
            <w:pPr>
              <w:spacing w:after="40"/>
            </w:pPr>
            <w:r/>
            <w:r>
              <w:rPr>
                <w:rFonts w:ascii="Arial" w:hAnsi="Arial"/>
                <w:b w:val="0"/>
                <w:sz w:val="18"/>
              </w:rPr>
              <w:t>11</w:t>
            </w:r>
          </w:p>
        </w:tc>
        <w:tc>
          <w:tcPr>
            <w:tcW w:type="dxa" w:w="3408"/>
            <w:vAlign w:val="center"/>
          </w:tcPr>
          <w:p>
            <w:pPr>
              <w:spacing w:after="40"/>
            </w:pPr>
            <w:r/>
            <w:r>
              <w:rPr>
                <w:rFonts w:ascii="Arial" w:hAnsi="Arial"/>
                <w:b w:val="0"/>
                <w:sz w:val="18"/>
              </w:rPr>
              <w:t>A payment fails or money is deducted twice.</w:t>
            </w:r>
          </w:p>
        </w:tc>
        <w:tc>
          <w:tcPr>
            <w:tcW w:type="dxa" w:w="3408"/>
            <w:vAlign w:val="center"/>
          </w:tcPr>
          <w:p>
            <w:pPr>
              <w:spacing w:after="40"/>
            </w:pPr>
            <w:r/>
            <w:r>
              <w:rPr>
                <w:rFonts w:ascii="Arial" w:hAnsi="Arial"/>
                <w:b w:val="0"/>
                <w:sz w:val="18"/>
              </w:rPr>
              <w:t>Check transaction records and work with the payment provider to correct the error or arrange a refund.</w:t>
            </w:r>
          </w:p>
        </w:tc>
      </w:tr>
      <w:tr>
        <w:tc>
          <w:tcPr>
            <w:tcW w:type="dxa" w:w="3408"/>
            <w:vAlign w:val="center"/>
            <w:shd w:fill="EAF1F8"/>
          </w:tcPr>
          <w:p>
            <w:pPr>
              <w:spacing w:after="40"/>
            </w:pPr>
            <w:r/>
            <w:r>
              <w:rPr>
                <w:rFonts w:ascii="Arial" w:hAnsi="Arial"/>
                <w:b w:val="0"/>
                <w:sz w:val="18"/>
              </w:rPr>
              <w:t>12</w:t>
            </w:r>
          </w:p>
        </w:tc>
        <w:tc>
          <w:tcPr>
            <w:tcW w:type="dxa" w:w="3408"/>
            <w:vAlign w:val="center"/>
            <w:shd w:fill="EAF1F8"/>
          </w:tcPr>
          <w:p>
            <w:pPr>
              <w:spacing w:after="40"/>
            </w:pPr>
            <w:r/>
            <w:r>
              <w:rPr>
                <w:rFonts w:ascii="Arial" w:hAnsi="Arial"/>
                <w:b w:val="0"/>
                <w:sz w:val="18"/>
              </w:rPr>
              <w:t>A user misuses personal information.</w:t>
            </w:r>
          </w:p>
        </w:tc>
        <w:tc>
          <w:tcPr>
            <w:tcW w:type="dxa" w:w="3408"/>
            <w:vAlign w:val="center"/>
            <w:shd w:fill="EAF1F8"/>
          </w:tcPr>
          <w:p>
            <w:pPr>
              <w:spacing w:after="40"/>
            </w:pPr>
            <w:r/>
            <w:r>
              <w:rPr>
                <w:rFonts w:ascii="Arial" w:hAnsi="Arial"/>
                <w:b w:val="0"/>
                <w:sz w:val="18"/>
              </w:rPr>
              <w:t>Restrict access, investigate, secure affected information, and follow the company privacy rules and applicable law.</w:t>
            </w:r>
          </w:p>
        </w:tc>
      </w:tr>
    </w:tbl>
    <w:p/>
    <w:p>
      <w:pPr>
        <w:pStyle w:val="Heading1"/>
      </w:pPr>
      <w:r>
        <w:t>2. What Happens When a Client Goes Against Company Policies?</w:t>
      </w:r>
    </w:p>
    <w:p>
      <w:r>
        <w:t>Clients who break Astra Application’s policies should face consequences that match the seriousness of the violation. The rules and possible consequences should be explained before the client books a service.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1F4E79"/>
          </w:tcPr>
          <w:p>
            <w:pPr>
              <w:spacing w:after="40"/>
            </w:pPr>
            <w:r/>
            <w:r>
              <w:rPr>
                <w:rFonts w:ascii="Arial" w:hAnsi="Arial"/>
                <w:b/>
                <w:color w:val="FFFFFF"/>
                <w:sz w:val="18"/>
              </w:rPr>
              <w:t>No.</w:t>
            </w:r>
          </w:p>
        </w:tc>
        <w:tc>
          <w:tcPr>
            <w:tcW w:type="dxa" w:w="3408"/>
            <w:vAlign w:val="center"/>
            <w:shd w:fill="1F4E79"/>
          </w:tcPr>
          <w:p>
            <w:pPr>
              <w:spacing w:after="40"/>
            </w:pPr>
            <w:r/>
            <w:r>
              <w:rPr>
                <w:rFonts w:ascii="Arial" w:hAnsi="Arial"/>
                <w:b/>
                <w:color w:val="FFFFFF"/>
                <w:sz w:val="18"/>
              </w:rPr>
              <w:t>Policy violation</w:t>
            </w:r>
          </w:p>
        </w:tc>
        <w:tc>
          <w:tcPr>
            <w:tcW w:type="dxa" w:w="3408"/>
            <w:vAlign w:val="center"/>
            <w:shd w:fill="1F4E79"/>
          </w:tcPr>
          <w:p>
            <w:pPr>
              <w:spacing w:after="40"/>
            </w:pPr>
            <w:r/>
            <w:r>
              <w:rPr>
                <w:rFonts w:ascii="Arial" w:hAnsi="Arial"/>
                <w:b/>
                <w:color w:val="FFFFFF"/>
                <w:sz w:val="18"/>
              </w:rPr>
              <w:t>Possible consequence</w:t>
            </w:r>
          </w:p>
        </w:tc>
      </w:tr>
      <w:tr>
        <w:tc>
          <w:tcPr>
            <w:tcW w:type="dxa" w:w="3408"/>
            <w:vAlign w:val="center"/>
          </w:tcPr>
          <w:p>
            <w:pPr>
              <w:spacing w:after="40"/>
            </w:pPr>
            <w:r/>
            <w:r>
              <w:rPr>
                <w:rFonts w:ascii="Arial" w:hAnsi="Arial"/>
                <w:b w:val="0"/>
                <w:sz w:val="18"/>
              </w:rPr>
              <w:t>1</w:t>
            </w:r>
          </w:p>
        </w:tc>
        <w:tc>
          <w:tcPr>
            <w:tcW w:type="dxa" w:w="3408"/>
            <w:vAlign w:val="center"/>
          </w:tcPr>
          <w:p>
            <w:pPr>
              <w:spacing w:after="40"/>
            </w:pPr>
            <w:r/>
            <w:r>
              <w:rPr>
                <w:rFonts w:ascii="Arial" w:hAnsi="Arial"/>
                <w:b w:val="0"/>
                <w:sz w:val="18"/>
              </w:rPr>
              <w:t>Repeated last-minute cancellations.</w:t>
            </w:r>
          </w:p>
        </w:tc>
        <w:tc>
          <w:tcPr>
            <w:tcW w:type="dxa" w:w="3408"/>
            <w:vAlign w:val="center"/>
          </w:tcPr>
          <w:p>
            <w:pPr>
              <w:spacing w:after="40"/>
            </w:pPr>
            <w:r/>
            <w:r>
              <w:rPr>
                <w:rFonts w:ascii="Arial" w:hAnsi="Arial"/>
                <w:b w:val="0"/>
                <w:sz w:val="18"/>
              </w:rPr>
              <w:t>A disclosed and lawful cancellation fee may apply. Repeated misuse may lead to booking restrictions.</w:t>
            </w:r>
          </w:p>
        </w:tc>
      </w:tr>
      <w:tr>
        <w:tc>
          <w:tcPr>
            <w:tcW w:type="dxa" w:w="3408"/>
            <w:vAlign w:val="center"/>
            <w:shd w:fill="EAF1F8"/>
          </w:tcPr>
          <w:p>
            <w:pPr>
              <w:spacing w:after="40"/>
            </w:pPr>
            <w:r/>
            <w:r>
              <w:rPr>
                <w:rFonts w:ascii="Arial" w:hAnsi="Arial"/>
                <w:b w:val="0"/>
                <w:sz w:val="18"/>
              </w:rPr>
              <w:t>2</w:t>
            </w:r>
          </w:p>
        </w:tc>
        <w:tc>
          <w:tcPr>
            <w:tcW w:type="dxa" w:w="3408"/>
            <w:vAlign w:val="center"/>
            <w:shd w:fill="EAF1F8"/>
          </w:tcPr>
          <w:p>
            <w:pPr>
              <w:spacing w:after="40"/>
            </w:pPr>
            <w:r/>
            <w:r>
              <w:rPr>
                <w:rFonts w:ascii="Arial" w:hAnsi="Arial"/>
                <w:b w:val="0"/>
                <w:sz w:val="18"/>
              </w:rPr>
              <w:t>Refusing to pay for agreed and completed work.</w:t>
            </w:r>
          </w:p>
        </w:tc>
        <w:tc>
          <w:tcPr>
            <w:tcW w:type="dxa" w:w="3408"/>
            <w:vAlign w:val="center"/>
            <w:shd w:fill="EAF1F8"/>
          </w:tcPr>
          <w:p>
            <w:pPr>
              <w:spacing w:after="40"/>
            </w:pPr>
            <w:r/>
            <w:r>
              <w:rPr>
                <w:rFonts w:ascii="Arial" w:hAnsi="Arial"/>
                <w:b w:val="0"/>
                <w:sz w:val="18"/>
              </w:rPr>
              <w:t>Send payment reminders, pause future bookings, and pursue lawful recovery if necessary.</w:t>
            </w:r>
          </w:p>
        </w:tc>
      </w:tr>
      <w:tr>
        <w:tc>
          <w:tcPr>
            <w:tcW w:type="dxa" w:w="3408"/>
            <w:vAlign w:val="center"/>
          </w:tcPr>
          <w:p>
            <w:pPr>
              <w:spacing w:after="40"/>
            </w:pPr>
            <w:r/>
            <w:r>
              <w:rPr>
                <w:rFonts w:ascii="Arial" w:hAnsi="Arial"/>
                <w:b w:val="0"/>
                <w:sz w:val="18"/>
              </w:rPr>
              <w:t>3</w:t>
            </w:r>
          </w:p>
        </w:tc>
        <w:tc>
          <w:tcPr>
            <w:tcW w:type="dxa" w:w="3408"/>
            <w:vAlign w:val="center"/>
          </w:tcPr>
          <w:p>
            <w:pPr>
              <w:spacing w:after="40"/>
            </w:pPr>
            <w:r/>
            <w:r>
              <w:rPr>
                <w:rFonts w:ascii="Arial" w:hAnsi="Arial"/>
                <w:b w:val="0"/>
                <w:sz w:val="18"/>
              </w:rPr>
              <w:t>Abusing, harassing, or threatening a provider.</w:t>
            </w:r>
          </w:p>
        </w:tc>
        <w:tc>
          <w:tcPr>
            <w:tcW w:type="dxa" w:w="3408"/>
            <w:vAlign w:val="center"/>
          </w:tcPr>
          <w:p>
            <w:pPr>
              <w:spacing w:after="40"/>
            </w:pPr>
            <w:r/>
            <w:r>
              <w:rPr>
                <w:rFonts w:ascii="Arial" w:hAnsi="Arial"/>
                <w:b w:val="0"/>
                <w:sz w:val="18"/>
              </w:rPr>
              <w:t>After appropriate review, suspend or terminate the account. Serious threats may be reported.</w:t>
            </w:r>
          </w:p>
        </w:tc>
      </w:tr>
      <w:tr>
        <w:tc>
          <w:tcPr>
            <w:tcW w:type="dxa" w:w="3408"/>
            <w:vAlign w:val="center"/>
            <w:shd w:fill="EAF1F8"/>
          </w:tcPr>
          <w:p>
            <w:pPr>
              <w:spacing w:after="40"/>
            </w:pPr>
            <w:r/>
            <w:r>
              <w:rPr>
                <w:rFonts w:ascii="Arial" w:hAnsi="Arial"/>
                <w:b w:val="0"/>
                <w:sz w:val="18"/>
              </w:rPr>
              <w:t>4</w:t>
            </w:r>
          </w:p>
        </w:tc>
        <w:tc>
          <w:tcPr>
            <w:tcW w:type="dxa" w:w="3408"/>
            <w:vAlign w:val="center"/>
            <w:shd w:fill="EAF1F8"/>
          </w:tcPr>
          <w:p>
            <w:pPr>
              <w:spacing w:after="40"/>
            </w:pPr>
            <w:r/>
            <w:r>
              <w:rPr>
                <w:rFonts w:ascii="Arial" w:hAnsi="Arial"/>
                <w:b w:val="0"/>
                <w:sz w:val="18"/>
              </w:rPr>
              <w:t>Providing false registration details.</w:t>
            </w:r>
          </w:p>
        </w:tc>
        <w:tc>
          <w:tcPr>
            <w:tcW w:type="dxa" w:w="3408"/>
            <w:vAlign w:val="center"/>
            <w:shd w:fill="EAF1F8"/>
          </w:tcPr>
          <w:p>
            <w:pPr>
              <w:spacing w:after="40"/>
            </w:pPr>
            <w:r/>
            <w:r>
              <w:rPr>
                <w:rFonts w:ascii="Arial" w:hAnsi="Arial"/>
                <w:b w:val="0"/>
                <w:sz w:val="18"/>
              </w:rPr>
              <w:t>Request verification or restrict/suspend the account until details are corrected.</w:t>
            </w:r>
          </w:p>
        </w:tc>
      </w:tr>
      <w:tr>
        <w:tc>
          <w:tcPr>
            <w:tcW w:type="dxa" w:w="3408"/>
            <w:vAlign w:val="center"/>
          </w:tcPr>
          <w:p>
            <w:pPr>
              <w:spacing w:after="40"/>
            </w:pPr>
            <w:r/>
            <w:r>
              <w:rPr>
                <w:rFonts w:ascii="Arial" w:hAnsi="Arial"/>
                <w:b w:val="0"/>
                <w:sz w:val="18"/>
              </w:rPr>
              <w:t>5</w:t>
            </w:r>
          </w:p>
        </w:tc>
        <w:tc>
          <w:tcPr>
            <w:tcW w:type="dxa" w:w="3408"/>
            <w:vAlign w:val="center"/>
          </w:tcPr>
          <w:p>
            <w:pPr>
              <w:spacing w:after="40"/>
            </w:pPr>
            <w:r/>
            <w:r>
              <w:rPr>
                <w:rFonts w:ascii="Arial" w:hAnsi="Arial"/>
                <w:b w:val="0"/>
                <w:sz w:val="18"/>
              </w:rPr>
              <w:t>Making deliberately false complaints.</w:t>
            </w:r>
          </w:p>
        </w:tc>
        <w:tc>
          <w:tcPr>
            <w:tcW w:type="dxa" w:w="3408"/>
            <w:vAlign w:val="center"/>
          </w:tcPr>
          <w:p>
            <w:pPr>
              <w:spacing w:after="40"/>
            </w:pPr>
            <w:r/>
            <w:r>
              <w:rPr>
                <w:rFonts w:ascii="Arial" w:hAnsi="Arial"/>
                <w:b w:val="0"/>
                <w:sz w:val="18"/>
              </w:rPr>
              <w:t>Reject the complaint if evidence does not support it; repeated deliberate abuse may lead to restrictions or suspension.</w:t>
            </w:r>
          </w:p>
        </w:tc>
      </w:tr>
      <w:tr>
        <w:tc>
          <w:tcPr>
            <w:tcW w:type="dxa" w:w="3408"/>
            <w:vAlign w:val="center"/>
            <w:shd w:fill="EAF1F8"/>
          </w:tcPr>
          <w:p>
            <w:pPr>
              <w:spacing w:after="40"/>
            </w:pPr>
            <w:r/>
            <w:r>
              <w:rPr>
                <w:rFonts w:ascii="Arial" w:hAnsi="Arial"/>
                <w:b w:val="0"/>
                <w:sz w:val="18"/>
              </w:rPr>
              <w:t>6</w:t>
            </w:r>
          </w:p>
        </w:tc>
        <w:tc>
          <w:tcPr>
            <w:tcW w:type="dxa" w:w="3408"/>
            <w:vAlign w:val="center"/>
            <w:shd w:fill="EAF1F8"/>
          </w:tcPr>
          <w:p>
            <w:pPr>
              <w:spacing w:after="40"/>
            </w:pPr>
            <w:r/>
            <w:r>
              <w:rPr>
                <w:rFonts w:ascii="Arial" w:hAnsi="Arial"/>
                <w:b w:val="0"/>
                <w:sz w:val="18"/>
              </w:rPr>
              <w:t>Intentionally damaging property or equipment.</w:t>
            </w:r>
          </w:p>
        </w:tc>
        <w:tc>
          <w:tcPr>
            <w:tcW w:type="dxa" w:w="3408"/>
            <w:vAlign w:val="center"/>
            <w:shd w:fill="EAF1F8"/>
          </w:tcPr>
          <w:p>
            <w:pPr>
              <w:spacing w:after="40"/>
            </w:pPr>
            <w:r/>
            <w:r>
              <w:rPr>
                <w:rFonts w:ascii="Arial" w:hAnsi="Arial"/>
                <w:b w:val="0"/>
                <w:sz w:val="18"/>
              </w:rPr>
              <w:t>Seek payment for verified damage where the client is legally responsible; refer serious cases to authorities if appropriate.</w:t>
            </w:r>
          </w:p>
        </w:tc>
      </w:tr>
      <w:tr>
        <w:tc>
          <w:tcPr>
            <w:tcW w:type="dxa" w:w="3408"/>
            <w:vAlign w:val="center"/>
          </w:tcPr>
          <w:p>
            <w:pPr>
              <w:spacing w:after="40"/>
            </w:pPr>
            <w:r/>
            <w:r>
              <w:rPr>
                <w:rFonts w:ascii="Arial" w:hAnsi="Arial"/>
                <w:b w:val="0"/>
                <w:sz w:val="18"/>
              </w:rPr>
              <w:t>7</w:t>
            </w:r>
          </w:p>
        </w:tc>
        <w:tc>
          <w:tcPr>
            <w:tcW w:type="dxa" w:w="3408"/>
            <w:vAlign w:val="center"/>
          </w:tcPr>
          <w:p>
            <w:pPr>
              <w:spacing w:after="40"/>
            </w:pPr>
            <w:r/>
            <w:r>
              <w:rPr>
                <w:rFonts w:ascii="Arial" w:hAnsi="Arial"/>
                <w:b w:val="0"/>
                <w:sz w:val="18"/>
              </w:rPr>
              <w:t>Attempting to scam the company or a provider.</w:t>
            </w:r>
          </w:p>
        </w:tc>
        <w:tc>
          <w:tcPr>
            <w:tcW w:type="dxa" w:w="3408"/>
            <w:vAlign w:val="center"/>
          </w:tcPr>
          <w:p>
            <w:pPr>
              <w:spacing w:after="40"/>
            </w:pPr>
            <w:r/>
            <w:r>
              <w:rPr>
                <w:rFonts w:ascii="Arial" w:hAnsi="Arial"/>
                <w:b w:val="0"/>
                <w:sz w:val="18"/>
              </w:rPr>
              <w:t>Suspend or terminate the account where justified, preserve evidence, and report suspected criminal activity when appropriate.</w:t>
            </w:r>
          </w:p>
        </w:tc>
      </w:tr>
      <w:tr>
        <w:tc>
          <w:tcPr>
            <w:tcW w:type="dxa" w:w="3408"/>
            <w:vAlign w:val="center"/>
            <w:shd w:fill="EAF1F8"/>
          </w:tcPr>
          <w:p>
            <w:pPr>
              <w:spacing w:after="40"/>
            </w:pPr>
            <w:r/>
            <w:r>
              <w:rPr>
                <w:rFonts w:ascii="Arial" w:hAnsi="Arial"/>
                <w:b w:val="0"/>
                <w:sz w:val="18"/>
              </w:rPr>
              <w:t>8</w:t>
            </w:r>
          </w:p>
        </w:tc>
        <w:tc>
          <w:tcPr>
            <w:tcW w:type="dxa" w:w="3408"/>
            <w:vAlign w:val="center"/>
            <w:shd w:fill="EAF1F8"/>
          </w:tcPr>
          <w:p>
            <w:pPr>
              <w:spacing w:after="40"/>
            </w:pPr>
            <w:r/>
            <w:r>
              <w:rPr>
                <w:rFonts w:ascii="Arial" w:hAnsi="Arial"/>
                <w:b w:val="0"/>
                <w:sz w:val="18"/>
              </w:rPr>
              <w:t>Sharing another person’s private information without permission.</w:t>
            </w:r>
          </w:p>
        </w:tc>
        <w:tc>
          <w:tcPr>
            <w:tcW w:type="dxa" w:w="3408"/>
            <w:vAlign w:val="center"/>
            <w:shd w:fill="EAF1F8"/>
          </w:tcPr>
          <w:p>
            <w:pPr>
              <w:spacing w:after="40"/>
            </w:pPr>
            <w:r/>
            <w:r>
              <w:rPr>
                <w:rFonts w:ascii="Arial" w:hAnsi="Arial"/>
                <w:b w:val="0"/>
                <w:sz w:val="18"/>
              </w:rPr>
              <w:t>Remove the information where possible, restrict access, investigate, and take action required by law.</w:t>
            </w:r>
          </w:p>
        </w:tc>
      </w:tr>
      <w:tr>
        <w:tc>
          <w:tcPr>
            <w:tcW w:type="dxa" w:w="3408"/>
            <w:vAlign w:val="center"/>
          </w:tcPr>
          <w:p>
            <w:pPr>
              <w:spacing w:after="40"/>
            </w:pPr>
            <w:r/>
            <w:r>
              <w:rPr>
                <w:rFonts w:ascii="Arial" w:hAnsi="Arial"/>
                <w:b w:val="0"/>
                <w:sz w:val="18"/>
              </w:rPr>
              <w:t>9</w:t>
            </w:r>
          </w:p>
        </w:tc>
        <w:tc>
          <w:tcPr>
            <w:tcW w:type="dxa" w:w="3408"/>
            <w:vAlign w:val="center"/>
          </w:tcPr>
          <w:p>
            <w:pPr>
              <w:spacing w:after="40"/>
            </w:pPr>
            <w:r/>
            <w:r>
              <w:rPr>
                <w:rFonts w:ascii="Arial" w:hAnsi="Arial"/>
                <w:b w:val="0"/>
                <w:sz w:val="18"/>
              </w:rPr>
              <w:t>Using the app to arrange illegal activities.</w:t>
            </w:r>
          </w:p>
        </w:tc>
        <w:tc>
          <w:tcPr>
            <w:tcW w:type="dxa" w:w="3408"/>
            <w:vAlign w:val="center"/>
          </w:tcPr>
          <w:p>
            <w:pPr>
              <w:spacing w:after="40"/>
            </w:pPr>
            <w:r/>
            <w:r>
              <w:rPr>
                <w:rFonts w:ascii="Arial" w:hAnsi="Arial"/>
                <w:b w:val="0"/>
                <w:sz w:val="18"/>
              </w:rPr>
              <w:t>Restrict access where necessary, investigate, and report the matter when required or justified by law.</w:t>
            </w:r>
          </w:p>
        </w:tc>
      </w:tr>
      <w:tr>
        <w:tc>
          <w:tcPr>
            <w:tcW w:type="dxa" w:w="3408"/>
            <w:vAlign w:val="center"/>
            <w:shd w:fill="EAF1F8"/>
          </w:tcPr>
          <w:p>
            <w:pPr>
              <w:spacing w:after="40"/>
            </w:pPr>
            <w:r/>
            <w:r>
              <w:rPr>
                <w:rFonts w:ascii="Arial" w:hAnsi="Arial"/>
                <w:b w:val="0"/>
                <w:sz w:val="18"/>
              </w:rPr>
              <w:t>10</w:t>
            </w:r>
          </w:p>
        </w:tc>
        <w:tc>
          <w:tcPr>
            <w:tcW w:type="dxa" w:w="3408"/>
            <w:vAlign w:val="center"/>
            <w:shd w:fill="EAF1F8"/>
          </w:tcPr>
          <w:p>
            <w:pPr>
              <w:spacing w:after="40"/>
            </w:pPr>
            <w:r/>
            <w:r>
              <w:rPr>
                <w:rFonts w:ascii="Arial" w:hAnsi="Arial"/>
                <w:b w:val="0"/>
                <w:sz w:val="18"/>
              </w:rPr>
              <w:t>Repeatedly violating booking or service rules.</w:t>
            </w:r>
          </w:p>
        </w:tc>
        <w:tc>
          <w:tcPr>
            <w:tcW w:type="dxa" w:w="3408"/>
            <w:vAlign w:val="center"/>
            <w:shd w:fill="EAF1F8"/>
          </w:tcPr>
          <w:p>
            <w:pPr>
              <w:spacing w:after="40"/>
            </w:pPr>
            <w:r/>
            <w:r>
              <w:rPr>
                <w:rFonts w:ascii="Arial" w:hAnsi="Arial"/>
                <w:b w:val="0"/>
                <w:sz w:val="18"/>
              </w:rPr>
              <w:t>Issue a warning, restrict bookings, suspend, or terminate the account depending on seriousness and frequency.</w:t>
            </w:r>
          </w:p>
        </w:tc>
      </w:tr>
    </w:tbl>
    <w:p/>
    <w:p>
      <w:pPr>
        <w:pStyle w:val="Heading1"/>
      </w:pPr>
      <w:r>
        <w:t>3. Steps to Follow When a Client Breaks the Rules</w:t>
      </w:r>
    </w:p>
    <w:p>
      <w:r>
        <w:rPr>
          <w:b/>
        </w:rPr>
        <w:t xml:space="preserve">Step 1: Receive a report: </w:t>
      </w:r>
      <w:r>
        <w:t>A provider, client, or company employee reports the alleged violation.</w:t>
      </w:r>
    </w:p>
    <w:p>
      <w:r>
        <w:rPr>
          <w:b/>
        </w:rPr>
        <w:t xml:space="preserve">Step 2: Investigate: </w:t>
      </w:r>
      <w:r>
        <w:t>Review relevant messages, booking records, payment details, photographs, and other evidence. Give the client a reasonable chance to explain, except where urgent protective action is needed.</w:t>
      </w:r>
    </w:p>
    <w:p>
      <w:r>
        <w:rPr>
          <w:b/>
        </w:rPr>
        <w:t xml:space="preserve">Step 3: Decide fairly: </w:t>
      </w:r>
      <w:r>
        <w:t>Depending on the evidence, issue a warning, restrict bookings, suspend the account, or terminate access.</w:t>
      </w:r>
    </w:p>
    <w:p>
      <w:r>
        <w:rPr>
          <w:b/>
        </w:rPr>
        <w:t xml:space="preserve">Step 4: Inform the client: </w:t>
      </w:r>
      <w:r>
        <w:t>Explain the policy involved, the action taken, and how the client can appeal the decision.</w:t>
      </w:r>
    </w:p>
    <w:p>
      <w:r>
        <w:rPr>
          <w:b/>
        </w:rPr>
        <w:t xml:space="preserve">Step 5: Protect the platform: </w:t>
      </w:r>
      <w:r>
        <w:t>Record the decision, protect affected users, and review the case to help prevent similar problems.</w:t>
      </w:r>
    </w:p>
    <w:p>
      <w:pPr>
        <w:pStyle w:val="Heading1"/>
      </w:pPr>
      <w:r>
        <w:t>4. Suggested Client Penalty System</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center"/>
            <w:shd w:fill="1F4E79"/>
          </w:tcPr>
          <w:p>
            <w:pPr>
              <w:spacing w:after="40"/>
            </w:pPr>
            <w:r/>
            <w:r>
              <w:rPr>
                <w:rFonts w:ascii="Arial" w:hAnsi="Arial"/>
                <w:b/>
                <w:color w:val="FFFFFF"/>
                <w:sz w:val="18"/>
              </w:rPr>
              <w:t>Level</w:t>
            </w:r>
          </w:p>
        </w:tc>
        <w:tc>
          <w:tcPr>
            <w:tcW w:type="dxa" w:w="3408"/>
            <w:vAlign w:val="center"/>
            <w:shd w:fill="1F4E79"/>
          </w:tcPr>
          <w:p>
            <w:pPr>
              <w:spacing w:after="40"/>
            </w:pPr>
            <w:r/>
            <w:r>
              <w:rPr>
                <w:rFonts w:ascii="Arial" w:hAnsi="Arial"/>
                <w:b/>
                <w:color w:val="FFFFFF"/>
                <w:sz w:val="18"/>
              </w:rPr>
              <w:t>Example</w:t>
            </w:r>
          </w:p>
        </w:tc>
        <w:tc>
          <w:tcPr>
            <w:tcW w:type="dxa" w:w="3408"/>
            <w:vAlign w:val="center"/>
            <w:shd w:fill="1F4E79"/>
          </w:tcPr>
          <w:p>
            <w:pPr>
              <w:spacing w:after="40"/>
            </w:pPr>
            <w:r/>
            <w:r>
              <w:rPr>
                <w:rFonts w:ascii="Arial" w:hAnsi="Arial"/>
                <w:b/>
                <w:color w:val="FFFFFF"/>
                <w:sz w:val="18"/>
              </w:rPr>
              <w:t>Possible action</w:t>
            </w:r>
          </w:p>
        </w:tc>
      </w:tr>
      <w:tr>
        <w:tc>
          <w:tcPr>
            <w:tcW w:type="dxa" w:w="3408"/>
            <w:vAlign w:val="center"/>
          </w:tcPr>
          <w:p>
            <w:pPr>
              <w:spacing w:after="40"/>
            </w:pPr>
            <w:r/>
            <w:r>
              <w:rPr>
                <w:rFonts w:ascii="Arial" w:hAnsi="Arial"/>
                <w:b w:val="0"/>
                <w:sz w:val="18"/>
              </w:rPr>
              <w:t>Level 1</w:t>
            </w:r>
          </w:p>
        </w:tc>
        <w:tc>
          <w:tcPr>
            <w:tcW w:type="dxa" w:w="3408"/>
            <w:vAlign w:val="center"/>
          </w:tcPr>
          <w:p>
            <w:pPr>
              <w:spacing w:after="40"/>
            </w:pPr>
            <w:r/>
            <w:r>
              <w:rPr>
                <w:rFonts w:ascii="Arial" w:hAnsi="Arial"/>
                <w:b w:val="0"/>
                <w:sz w:val="18"/>
              </w:rPr>
              <w:t>First minor violation</w:t>
            </w:r>
          </w:p>
        </w:tc>
        <w:tc>
          <w:tcPr>
            <w:tcW w:type="dxa" w:w="3408"/>
            <w:vAlign w:val="center"/>
          </w:tcPr>
          <w:p>
            <w:pPr>
              <w:spacing w:after="40"/>
            </w:pPr>
            <w:r/>
            <w:r>
              <w:rPr>
                <w:rFonts w:ascii="Arial" w:hAnsi="Arial"/>
                <w:b w:val="0"/>
                <w:sz w:val="18"/>
              </w:rPr>
              <w:t>Verbal or written warning.</w:t>
            </w:r>
          </w:p>
        </w:tc>
      </w:tr>
      <w:tr>
        <w:tc>
          <w:tcPr>
            <w:tcW w:type="dxa" w:w="3408"/>
            <w:vAlign w:val="center"/>
            <w:shd w:fill="EAF1F8"/>
          </w:tcPr>
          <w:p>
            <w:pPr>
              <w:spacing w:after="40"/>
            </w:pPr>
            <w:r/>
            <w:r>
              <w:rPr>
                <w:rFonts w:ascii="Arial" w:hAnsi="Arial"/>
                <w:b w:val="0"/>
                <w:sz w:val="18"/>
              </w:rPr>
              <w:t>Level 2</w:t>
            </w:r>
          </w:p>
        </w:tc>
        <w:tc>
          <w:tcPr>
            <w:tcW w:type="dxa" w:w="3408"/>
            <w:vAlign w:val="center"/>
            <w:shd w:fill="EAF1F8"/>
          </w:tcPr>
          <w:p>
            <w:pPr>
              <w:spacing w:after="40"/>
            </w:pPr>
            <w:r/>
            <w:r>
              <w:rPr>
                <w:rFonts w:ascii="Arial" w:hAnsi="Arial"/>
                <w:b w:val="0"/>
                <w:sz w:val="18"/>
              </w:rPr>
              <w:t>Repeated minor violation</w:t>
            </w:r>
          </w:p>
        </w:tc>
        <w:tc>
          <w:tcPr>
            <w:tcW w:type="dxa" w:w="3408"/>
            <w:vAlign w:val="center"/>
            <w:shd w:fill="EAF1F8"/>
          </w:tcPr>
          <w:p>
            <w:pPr>
              <w:spacing w:after="40"/>
            </w:pPr>
            <w:r/>
            <w:r>
              <w:rPr>
                <w:rFonts w:ascii="Arial" w:hAnsi="Arial"/>
                <w:b w:val="0"/>
                <w:sz w:val="18"/>
              </w:rPr>
              <w:t>Final warning or temporary booking restriction.</w:t>
            </w:r>
          </w:p>
        </w:tc>
      </w:tr>
      <w:tr>
        <w:tc>
          <w:tcPr>
            <w:tcW w:type="dxa" w:w="3408"/>
            <w:vAlign w:val="center"/>
          </w:tcPr>
          <w:p>
            <w:pPr>
              <w:spacing w:after="40"/>
            </w:pPr>
            <w:r/>
            <w:r>
              <w:rPr>
                <w:rFonts w:ascii="Arial" w:hAnsi="Arial"/>
                <w:b w:val="0"/>
                <w:sz w:val="18"/>
              </w:rPr>
              <w:t>Level 3</w:t>
            </w:r>
          </w:p>
        </w:tc>
        <w:tc>
          <w:tcPr>
            <w:tcW w:type="dxa" w:w="3408"/>
            <w:vAlign w:val="center"/>
          </w:tcPr>
          <w:p>
            <w:pPr>
              <w:spacing w:after="40"/>
            </w:pPr>
            <w:r/>
            <w:r>
              <w:rPr>
                <w:rFonts w:ascii="Arial" w:hAnsi="Arial"/>
                <w:b w:val="0"/>
                <w:sz w:val="18"/>
              </w:rPr>
              <w:t>Serious violation</w:t>
            </w:r>
          </w:p>
        </w:tc>
        <w:tc>
          <w:tcPr>
            <w:tcW w:type="dxa" w:w="3408"/>
            <w:vAlign w:val="center"/>
          </w:tcPr>
          <w:p>
            <w:pPr>
              <w:spacing w:after="40"/>
            </w:pPr>
            <w:r/>
            <w:r>
              <w:rPr>
                <w:rFonts w:ascii="Arial" w:hAnsi="Arial"/>
                <w:b w:val="0"/>
                <w:sz w:val="18"/>
              </w:rPr>
              <w:t>Temporary suspension while the matter is reviewed.</w:t>
            </w:r>
          </w:p>
        </w:tc>
      </w:tr>
      <w:tr>
        <w:tc>
          <w:tcPr>
            <w:tcW w:type="dxa" w:w="3408"/>
            <w:vAlign w:val="center"/>
            <w:shd w:fill="EAF1F8"/>
          </w:tcPr>
          <w:p>
            <w:pPr>
              <w:spacing w:after="40"/>
            </w:pPr>
            <w:r/>
            <w:r>
              <w:rPr>
                <w:rFonts w:ascii="Arial" w:hAnsi="Arial"/>
                <w:b w:val="0"/>
                <w:sz w:val="18"/>
              </w:rPr>
              <w:t>Level 4</w:t>
            </w:r>
          </w:p>
        </w:tc>
        <w:tc>
          <w:tcPr>
            <w:tcW w:type="dxa" w:w="3408"/>
            <w:vAlign w:val="center"/>
            <w:shd w:fill="EAF1F8"/>
          </w:tcPr>
          <w:p>
            <w:pPr>
              <w:spacing w:after="40"/>
            </w:pPr>
            <w:r/>
            <w:r>
              <w:rPr>
                <w:rFonts w:ascii="Arial" w:hAnsi="Arial"/>
                <w:b w:val="0"/>
                <w:sz w:val="18"/>
              </w:rPr>
              <w:t>Repeated serious violation, fraud, or major safety risk</w:t>
            </w:r>
          </w:p>
        </w:tc>
        <w:tc>
          <w:tcPr>
            <w:tcW w:type="dxa" w:w="3408"/>
            <w:vAlign w:val="center"/>
            <w:shd w:fill="EAF1F8"/>
          </w:tcPr>
          <w:p>
            <w:pPr>
              <w:spacing w:after="40"/>
            </w:pPr>
            <w:r/>
            <w:r>
              <w:rPr>
                <w:rFonts w:ascii="Arial" w:hAnsi="Arial"/>
                <w:b w:val="0"/>
                <w:sz w:val="18"/>
              </w:rPr>
              <w:t>Permanent account termination where justified.</w:t>
            </w:r>
          </w:p>
        </w:tc>
      </w:tr>
      <w:tr>
        <w:tc>
          <w:tcPr>
            <w:tcW w:type="dxa" w:w="3408"/>
            <w:vAlign w:val="center"/>
          </w:tcPr>
          <w:p>
            <w:pPr>
              <w:spacing w:after="40"/>
            </w:pPr>
            <w:r/>
            <w:r>
              <w:rPr>
                <w:rFonts w:ascii="Arial" w:hAnsi="Arial"/>
                <w:b w:val="0"/>
                <w:sz w:val="18"/>
              </w:rPr>
              <w:t>Special case</w:t>
            </w:r>
          </w:p>
        </w:tc>
        <w:tc>
          <w:tcPr>
            <w:tcW w:type="dxa" w:w="3408"/>
            <w:vAlign w:val="center"/>
          </w:tcPr>
          <w:p>
            <w:pPr>
              <w:spacing w:after="40"/>
            </w:pPr>
            <w:r/>
            <w:r>
              <w:rPr>
                <w:rFonts w:ascii="Arial" w:hAnsi="Arial"/>
                <w:b w:val="0"/>
                <w:sz w:val="18"/>
              </w:rPr>
              <w:t>Verified unpaid charge or property damage</w:t>
            </w:r>
          </w:p>
        </w:tc>
        <w:tc>
          <w:tcPr>
            <w:tcW w:type="dxa" w:w="3408"/>
            <w:vAlign w:val="center"/>
          </w:tcPr>
          <w:p>
            <w:pPr>
              <w:spacing w:after="40"/>
            </w:pPr>
            <w:r/>
            <w:r>
              <w:rPr>
                <w:rFonts w:ascii="Arial" w:hAnsi="Arial"/>
                <w:b w:val="0"/>
                <w:sz w:val="18"/>
              </w:rPr>
              <w:t>Seek a fair, documented resolution and lawful recovery where appropriate.</w:t>
            </w:r>
          </w:p>
        </w:tc>
      </w:tr>
    </w:tbl>
    <w:p/>
    <w:p>
      <w:pPr>
        <w:pStyle w:val="Heading1"/>
      </w:pPr>
      <w:r>
        <w:t>5. Important Rules for Fair Treatment</w:t>
      </w:r>
    </w:p>
    <w:p>
      <w:pPr>
        <w:pStyle w:val="ListBullet"/>
      </w:pPr>
      <w:r>
        <w:t>Do not impose arbitrary fines or keep a client’s money without a clear, disclosed, lawful basis.</w:t>
      </w:r>
    </w:p>
    <w:p>
      <w:pPr>
        <w:pStyle w:val="ListBullet"/>
      </w:pPr>
      <w:r>
        <w:t>Any cancellation fee or compensation requirement should be reasonable, documented, and consistent with applicable Cameroonian law.</w:t>
      </w:r>
    </w:p>
    <w:p>
      <w:pPr>
        <w:pStyle w:val="ListBullet"/>
      </w:pPr>
      <w:r>
        <w:t>Clients should have a way to challenge decisions they believe are incorrect.</w:t>
      </w:r>
    </w:p>
    <w:p>
      <w:pPr>
        <w:pStyle w:val="ListBullet"/>
      </w:pPr>
      <w:r>
        <w:t>Apply policies consistently to all clients and service providers, while considering the evidence and seriousness of each case.</w:t>
      </w:r>
    </w:p>
    <w:p>
      <w:pPr>
        <w:pStyle w:val="Heading1"/>
      </w:pPr>
      <w:r>
        <w:t>6. Expected Results for Astra Application</w:t>
      </w:r>
    </w:p>
    <w:p>
      <w:pPr>
        <w:pStyle w:val="ListBullet"/>
      </w:pPr>
      <w:r>
        <w:t>Protect clients and service providers.</w:t>
      </w:r>
    </w:p>
    <w:p>
      <w:pPr>
        <w:pStyle w:val="ListBullet"/>
      </w:pPr>
      <w:r>
        <w:t>Reduce fraud, missed appointments, and payment disputes.</w:t>
      </w:r>
    </w:p>
    <w:p>
      <w:pPr>
        <w:pStyle w:val="ListBullet"/>
      </w:pPr>
      <w:r>
        <w:t>Maintain trust and professionalism.</w:t>
      </w:r>
    </w:p>
    <w:p>
      <w:pPr>
        <w:pStyle w:val="ListBullet"/>
      </w:pPr>
      <w:r>
        <w:t>Resolve complaints in an organized manner.</w:t>
      </w:r>
    </w:p>
    <w:p>
      <w:pPr>
        <w:pStyle w:val="ListBullet"/>
      </w:pPr>
      <w:r>
        <w:t>Encourage clients to respect company policies.</w:t>
      </w:r>
    </w:p>
    <w:p>
      <w:pPr>
        <w:pStyle w:val="ListBullet"/>
      </w:pPr>
      <w:r>
        <w:t>Protect the company’s reputation and improve service quality.</w:t>
      </w:r>
    </w:p>
    <w:p>
      <w:pPr>
        <w:pStyle w:val="Heading1"/>
      </w:pPr>
      <w:r>
        <w:t>Conclusion</w:t>
      </w:r>
    </w:p>
    <w:p>
      <w:r>
        <w:t>When problems arise, Astra Application should investigate them and provide suitable solutions. When clients violate company policies, the company should apply fair and proportionate consequences, ranging from warnings to account termination, depending on the violation. These procedures should be transparent, consistently applied, and in line with applicable law.</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Astra Application | Problem Management and Client Policies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