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Global Equity Screen and 3-ETF Core Portfolio — 25-Year Horizon</w:t>
      </w:r>
    </w:p>
    <w:p>
      <w:pPr>
        <w:pStyle w:val="Author"/>
      </w:pPr>
      <w:r>
        <w:t xml:space="preserve">Retirement ETF Analyst</w:t>
      </w:r>
    </w:p>
    <w:p>
      <w:pPr>
        <w:pStyle w:val="Date"/>
      </w:pPr>
      <w:r>
        <w:t xml:space="preserve">5 August 2026</w:t>
      </w:r>
    </w:p>
    <w:p>
      <w:pPr>
        <w:pStyle w:val="Heading1"/>
      </w:pPr>
      <w:bookmarkStart w:id="20" w:name="X6a5b8243201032e34e5a43df806a820bf03bc61"/>
      <w:r>
        <w:t xml:space="preserve">Global Equity Screen and 3-ETF Core Portfolio — 25-Year Horizon</w:t>
      </w:r>
      <w:bookmarkEnd w:id="20"/>
    </w:p>
    <w:p>
      <w:pPr>
        <w:pStyle w:val="FirstParagraph"/>
      </w:pPr>
      <w:r>
        <w:t xml:space="preserve">Prepared 5 August 2026. Brazil tax residency, Interactive Brokers, USD-denominated, 25 years to retirement, moderate risk, accumulation phase.</w:t>
      </w:r>
    </w:p>
    <w:p>
      <w:r>
        <w:pict>
          <v:rect style="width:0;height:1.5pt" o:hralign="center" o:hrstd="t" o:hr="t"/>
        </w:pict>
      </w:r>
    </w:p>
    <w:p>
      <w:pPr>
        <w:pStyle w:val="Heading2"/>
      </w:pPr>
      <w:bookmarkStart w:id="21" w:name="executive-summary"/>
      <w:r>
        <w:t xml:space="preserve">1. Executive summary</w:t>
      </w:r>
      <w:bookmarkEnd w:id="21"/>
    </w:p>
    <w:p>
      <w:pPr>
        <w:numPr>
          <w:ilvl w:val="0"/>
          <w:numId w:val="1001"/>
        </w:numPr>
        <w:pStyle w:val="Compact"/>
      </w:pPr>
      <w:r>
        <w:rPr>
          <w:b/>
        </w:rPr>
        <w:t xml:space="preserve">Recommended core: IWDA 70% / EIMI 10% / AGGU 20%</w:t>
      </w:r>
      <w:r>
        <w:t xml:space="preserve"> </w:t>
      </w:r>
      <w:r>
        <w:t xml:space="preserve">— iShares Core MSCI World (developed equity), iShares Core MSCI EM IMI (emerging equity), iShares Core Global Aggregate Bond USD-Hedged (stabiliser). All three Irish-domiciled, all accumulating, all tradeable in USD on the LSE. Blended TER</w:t>
      </w:r>
      <w:r>
        <w:t xml:space="preserve"> </w:t>
      </w:r>
      <w:r>
        <w:rPr>
          <w:b/>
        </w:rPr>
        <w:t xml:space="preserve">0.178%</w:t>
      </w:r>
      <w:r>
        <w:t xml:space="preserve">.</w:t>
      </w:r>
    </w:p>
    <w:p>
      <w:pPr>
        <w:numPr>
          <w:ilvl w:val="0"/>
          <w:numId w:val="1001"/>
        </w:numPr>
        <w:pStyle w:val="Compact"/>
      </w:pPr>
      <w:r>
        <w:rPr>
          <w:b/>
        </w:rPr>
        <w:t xml:space="preserve">The trade-off you are accepting:</w:t>
      </w:r>
      <w:r>
        <w:t xml:space="preserve"> </w:t>
      </w:r>
      <w:r>
        <w:t xml:space="preserve">roughly 12 bp/yr of headline cost versus the US-listed mirror (VT + BNDW at 0.058%), in exchange for avoiding investor-level US dividend withholding and US-situs estate-tax exposure as a non-US person with no US–Brazil income tax treaty. For a Brazilian resident the withholding arithmetic normally outweighs the fee gap — but it depends on the rate that actually applies to you, and that is a question for your accountant, not a number I will assert.</w:t>
      </w:r>
    </w:p>
    <w:p>
      <w:pPr>
        <w:numPr>
          <w:ilvl w:val="0"/>
          <w:numId w:val="1001"/>
        </w:numPr>
        <w:pStyle w:val="Compact"/>
      </w:pPr>
      <w:r>
        <w:rPr>
          <w:b/>
        </w:rPr>
        <w:t xml:space="preserve">The third ticker is a choice, not a requirement.</w:t>
      </w:r>
      <w:r>
        <w:t xml:space="preserve"> </w:t>
      </w:r>
      <w:r>
        <w:t xml:space="preserve">IWDA + EIMI exists so that</w:t>
      </w:r>
      <w:r>
        <w:t xml:space="preserve"> </w:t>
      </w:r>
      <w:r>
        <w:rPr>
          <w:i/>
        </w:rPr>
        <w:t xml:space="preserve">you</w:t>
      </w:r>
      <w:r>
        <w:t xml:space="preserve"> </w:t>
      </w:r>
      <w:r>
        <w:t xml:space="preserve">set the emerging-markets weight. If you do not want to make that call, collapse them into one fund —</w:t>
      </w:r>
      <w:r>
        <w:t xml:space="preserve"> </w:t>
      </w:r>
      <w:r>
        <w:rPr>
          <w:b/>
        </w:rPr>
        <w:t xml:space="preserve">VWRA</w:t>
      </w:r>
      <w:r>
        <w:t xml:space="preserve"> </w:t>
      </w:r>
      <w:r>
        <w:t xml:space="preserve">(FTSE All-World, 0.19%) or</w:t>
      </w:r>
      <w:r>
        <w:t xml:space="preserve"> </w:t>
      </w:r>
      <w:r>
        <w:rPr>
          <w:b/>
        </w:rPr>
        <w:t xml:space="preserve">SPYI/IMID</w:t>
      </w:r>
      <w:r>
        <w:t xml:space="preserve"> </w:t>
      </w:r>
      <w:r>
        <w:t xml:space="preserve">(MSCI ACWI IMI, 0.17%, includes small caps) — and hold two tickers instead of three. The cost difference is under 1 bp/yr. I lead with three because EM weighting is the one place in a global portfolio where market weight and defensible judgement genuinely diverge, and 25 years is the horizon over which that divergence can matter.</w:t>
      </w:r>
    </w:p>
    <w:p>
      <w:pPr>
        <w:numPr>
          <w:ilvl w:val="0"/>
          <w:numId w:val="1001"/>
        </w:numPr>
        <w:pStyle w:val="Compact"/>
      </w:pPr>
      <w:r>
        <w:rPr>
          <w:b/>
        </w:rPr>
        <w:t xml:space="preserve">Expected downside:</w:t>
      </w:r>
      <w:r>
        <w:t xml:space="preserve"> </w:t>
      </w:r>
      <w:r>
        <w:t xml:space="preserve">roughly</w:t>
      </w:r>
      <w:r>
        <w:t xml:space="preserve"> </w:t>
      </w:r>
      <w:r>
        <w:rPr>
          <w:b/>
        </w:rPr>
        <w:t xml:space="preserve">-37% to -40%</w:t>
      </w:r>
      <w:r>
        <w:t xml:space="preserve"> </w:t>
      </w:r>
      <w:r>
        <w:t xml:space="preserve">peak-to-trough in a 2008-style equity crisis; roughly</w:t>
      </w:r>
      <w:r>
        <w:t xml:space="preserve"> </w:t>
      </w:r>
      <w:r>
        <w:rPr>
          <w:b/>
        </w:rPr>
        <w:t xml:space="preserve">-15% to -18%</w:t>
      </w:r>
      <w:r>
        <w:t xml:space="preserve"> </w:t>
      </w:r>
      <w:r>
        <w:t xml:space="preserve">in a 2022-style inflationary shock where both sleeves fall together and the bond allocation cushions almost nothing. Plan around the second scenario, not the first — it is the one that surprises people.</w:t>
      </w:r>
    </w:p>
    <w:p>
      <w:pPr>
        <w:numPr>
          <w:ilvl w:val="0"/>
          <w:numId w:val="1001"/>
        </w:numPr>
        <w:pStyle w:val="Compact"/>
      </w:pPr>
      <w:r>
        <w:rPr>
          <w:b/>
        </w:rPr>
        <w:t xml:space="preserve">A verification catch worth flagging:</w:t>
      </w:r>
      <w:r>
        <w:t xml:space="preserve"> </w:t>
      </w:r>
      <w:r>
        <w:t xml:space="preserve">justETF currently lists 0.14% TER for both Vanguard FTSE All-World UCITS share classes. Vanguard’s own factsheet dated 30 June 2026 states an OCF of</w:t>
      </w:r>
      <w:r>
        <w:t xml:space="preserve"> </w:t>
      </w:r>
      <w:r>
        <w:rPr>
          <w:b/>
        </w:rPr>
        <w:t xml:space="preserve">0.19%</w:t>
      </w:r>
      <w:r>
        <w:t xml:space="preserve">. I have used the issuer figure throughout. Do not screen this fund family on aggregator data.</w:t>
      </w:r>
    </w:p>
    <w:p>
      <w:r>
        <w:pict>
          <v:rect style="width:0;height:1.5pt" o:hralign="center" o:hrstd="t" o:hr="t"/>
        </w:pict>
      </w:r>
    </w:p>
    <w:p>
      <w:pPr>
        <w:pStyle w:val="Heading2"/>
      </w:pPr>
      <w:bookmarkStart w:id="22" w:name="investor-context"/>
      <w:r>
        <w:t xml:space="preserve">2. Investor context</w:t>
      </w:r>
      <w:bookmarkEnd w:id="22"/>
    </w:p>
    <w:p>
      <w:pPr>
        <w:pStyle w:val="FirstParagraph"/>
      </w:pPr>
      <w:r>
        <w:t xml:space="preserve">Brazil tax resident, taxed on worldwide income and reporting in BRL. Interactive Brokers, USD base. Twenty-five years to retirement, contributions ongoing, no withdrawals assumed before year 20. Moderate risk tolerance — accepts equity drawdowns, prioritises diversification and cost control. Core universe restricted to broad, liquid, low-TER funds; no leverage, no thematics, no factor satellites in this proposal.</w:t>
      </w:r>
    </w:p>
    <w:p>
      <w:pPr>
        <w:pStyle w:val="BodyText"/>
      </w:pPr>
      <w:r>
        <w:rPr>
          <w:b/>
        </w:rPr>
        <w:t xml:space="preserve">Assumptions made because the parameters were not specified:</w:t>
      </w:r>
      <w:r>
        <w:t xml:space="preserve"> </w:t>
      </w:r>
      <w:r>
        <w:t xml:space="preserve">starting capital and monthly contribution unknown, so all weights are expressed as percentages and all execution guidance assumes retail-sized orders (immaterial relative to average daily volume in every fund named). Currency of ultimate spending assumed to be BRL, which is why the bond sleeve is USD-hedged rather than unhedged — hedging to USD does not solve BRL exposure, but it does stop the stabiliser from behaving like an FX position. If you intend to retire outside Brazil, tell me and the bond hedging decision changes.</w:t>
      </w:r>
    </w:p>
    <w:p>
      <w:r>
        <w:pict>
          <v:rect style="width:0;height:1.5pt" o:hralign="center" o:hrstd="t" o:hr="t"/>
        </w:pict>
      </w:r>
    </w:p>
    <w:p>
      <w:pPr>
        <w:pStyle w:val="Heading2"/>
      </w:pPr>
      <w:bookmarkStart w:id="23" w:name="etf-shortlists"/>
      <w:r>
        <w:t xml:space="preserve">3. ETF shortlists</w:t>
      </w:r>
      <w:bookmarkEnd w:id="23"/>
    </w:p>
    <w:p>
      <w:pPr>
        <w:pStyle w:val="Heading3"/>
      </w:pPr>
      <w:bookmarkStart w:id="24" w:name="global-and-regional-equity"/>
      <w:r>
        <w:t xml:space="preserve">Global and regional equity</w:t>
      </w:r>
      <w:bookmarkEnd w:id="24"/>
    </w:p>
    <w:tbl>
      <w:tblPr>
        <w:tblStyle w:val="Table"/>
        <w:tblW w:type="pct" w:w="4999.999999999998"/>
        <w:tblLook w:firstRow="1"/>
      </w:tblPr>
      <w:tblGrid>
        <w:gridCol w:w="879"/>
        <w:gridCol w:w="879"/>
        <w:gridCol w:w="879"/>
        <w:gridCol w:w="879"/>
        <w:gridCol w:w="879"/>
        <w:gridCol w:w="879"/>
        <w:gridCol w:w="879"/>
        <w:gridCol w:w="879"/>
        <w:gridCol w:w="879"/>
      </w:tblGrid>
      <w:tr>
        <w:trPr>
          <w:cnfStyle w:firstRow="1"/>
        </w:trPr>
        <w:tc>
          <w:tcPr>
            <w:tcBorders>
              <w:bottom w:val="single"/>
            </w:tcBorders>
            <w:vAlign w:val="bottom"/>
          </w:tcPr>
          <w:p>
            <w:pPr>
              <w:pStyle w:val="Compact"/>
              <w:jc w:val="left"/>
            </w:pPr>
            <w:r>
              <w:t xml:space="preserve">Ticker</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TER %</w:t>
            </w:r>
          </w:p>
        </w:tc>
        <w:tc>
          <w:tcPr>
            <w:tcBorders>
              <w:bottom w:val="single"/>
            </w:tcBorders>
            <w:vAlign w:val="bottom"/>
          </w:tcPr>
          <w:p>
            <w:pPr>
              <w:pStyle w:val="Compact"/>
              <w:jc w:val="left"/>
            </w:pPr>
            <w:r>
              <w:t xml:space="preserve">AUM</w:t>
            </w:r>
          </w:p>
        </w:tc>
        <w:tc>
          <w:tcPr>
            <w:tcBorders>
              <w:bottom w:val="single"/>
            </w:tcBorders>
            <w:vAlign w:val="bottom"/>
          </w:tcPr>
          <w:p>
            <w:pPr>
              <w:pStyle w:val="Compact"/>
              <w:jc w:val="left"/>
            </w:pPr>
            <w:r>
              <w:t xml:space="preserve">Domicile</w:t>
            </w:r>
          </w:p>
        </w:tc>
        <w:tc>
          <w:tcPr>
            <w:tcBorders>
              <w:bottom w:val="single"/>
            </w:tcBorders>
            <w:vAlign w:val="bottom"/>
          </w:tcPr>
          <w:p>
            <w:pPr>
              <w:pStyle w:val="Compact"/>
              <w:jc w:val="left"/>
            </w:pPr>
            <w:r>
              <w:t xml:space="preserve">Dist/Acc</w:t>
            </w:r>
          </w:p>
        </w:tc>
        <w:tc>
          <w:tcPr>
            <w:tcBorders>
              <w:bottom w:val="single"/>
            </w:tcBorders>
            <w:vAlign w:val="bottom"/>
          </w:tcPr>
          <w:p>
            <w:pPr>
              <w:pStyle w:val="Compact"/>
              <w:jc w:val="left"/>
            </w:pPr>
            <w:r>
              <w:t xml:space="preserve">Liquidity</w:t>
            </w:r>
          </w:p>
        </w:tc>
      </w:tr>
      <w:tr>
        <w:tc>
          <w:p>
            <w:pPr>
              <w:pStyle w:val="Compact"/>
              <w:jc w:val="left"/>
            </w:pPr>
            <w:r>
              <w:rPr>
                <w:b/>
              </w:rPr>
              <w:t xml:space="preserve">IWDA / SWDA</w:t>
            </w:r>
          </w:p>
        </w:tc>
        <w:tc>
          <w:p>
            <w:pPr>
              <w:pStyle w:val="Compact"/>
              <w:jc w:val="left"/>
            </w:pPr>
            <w:r>
              <w:t xml:space="preserve">iShares Core MSCI World UCITS ETF</w:t>
            </w:r>
          </w:p>
        </w:tc>
        <w:tc>
          <w:p>
            <w:pPr>
              <w:pStyle w:val="Compact"/>
              <w:jc w:val="left"/>
            </w:pPr>
            <w:r>
              <w:t xml:space="preserve">BlackRock</w:t>
            </w:r>
          </w:p>
        </w:tc>
        <w:tc>
          <w:p>
            <w:pPr>
              <w:pStyle w:val="Compact"/>
              <w:jc w:val="left"/>
            </w:pPr>
            <w:r>
              <w:t xml:space="preserve">MSCI World (Net)</w:t>
            </w:r>
          </w:p>
        </w:tc>
        <w:tc>
          <w:p>
            <w:pPr>
              <w:pStyle w:val="Compact"/>
              <w:jc w:val="left"/>
            </w:pPr>
            <w:r>
              <w:t xml:space="preserve">0.20</w:t>
            </w:r>
          </w:p>
        </w:tc>
        <w:tc>
          <w:p>
            <w:pPr>
              <w:pStyle w:val="Compact"/>
              <w:jc w:val="left"/>
            </w:pPr>
            <w:r>
              <w:t xml:space="preserve">$151.7bn fund / $147.3bn class</w:t>
            </w:r>
          </w:p>
        </w:tc>
        <w:tc>
          <w:p>
            <w:pPr>
              <w:pStyle w:val="Compact"/>
              <w:jc w:val="left"/>
            </w:pPr>
            <w:r>
              <w:t xml:space="preserve">Ireland</w:t>
            </w:r>
          </w:p>
        </w:tc>
        <w:tc>
          <w:p>
            <w:pPr>
              <w:pStyle w:val="Compact"/>
              <w:jc w:val="left"/>
            </w:pPr>
            <w:r>
              <w:t xml:space="preserve">Acc</w:t>
            </w:r>
          </w:p>
        </w:tc>
        <w:tc>
          <w:p>
            <w:pPr>
              <w:pStyle w:val="Compact"/>
              <w:jc w:val="left"/>
            </w:pPr>
            <w:r>
              <w:t xml:space="preserve">High</w:t>
            </w:r>
          </w:p>
        </w:tc>
      </w:tr>
      <w:tr>
        <w:tc>
          <w:p>
            <w:pPr>
              <w:pStyle w:val="Compact"/>
              <w:jc w:val="left"/>
            </w:pPr>
            <w:r>
              <w:rPr>
                <w:b/>
              </w:rPr>
              <w:t xml:space="preserve">EIMI</w:t>
            </w:r>
          </w:p>
        </w:tc>
        <w:tc>
          <w:p>
            <w:pPr>
              <w:pStyle w:val="Compact"/>
              <w:jc w:val="left"/>
            </w:pPr>
            <w:r>
              <w:t xml:space="preserve">iShares Core MSCI EM IMI UCITS ETF</w:t>
            </w:r>
          </w:p>
        </w:tc>
        <w:tc>
          <w:p>
            <w:pPr>
              <w:pStyle w:val="Compact"/>
              <w:jc w:val="left"/>
            </w:pPr>
            <w:r>
              <w:t xml:space="preserve">BlackRock</w:t>
            </w:r>
          </w:p>
        </w:tc>
        <w:tc>
          <w:p>
            <w:pPr>
              <w:pStyle w:val="Compact"/>
              <w:jc w:val="left"/>
            </w:pPr>
            <w:r>
              <w:t xml:space="preserve">MSCI EM IMI (Net)</w:t>
            </w:r>
          </w:p>
        </w:tc>
        <w:tc>
          <w:p>
            <w:pPr>
              <w:pStyle w:val="Compact"/>
              <w:jc w:val="left"/>
            </w:pPr>
            <w:r>
              <w:t xml:space="preserve">0.18</w:t>
            </w:r>
          </w:p>
        </w:tc>
        <w:tc>
          <w:p>
            <w:pPr>
              <w:pStyle w:val="Compact"/>
              <w:jc w:val="left"/>
            </w:pPr>
            <w:r>
              <w:t xml:space="preserve">$43.96bn fund / $42.19bn class</w:t>
            </w:r>
          </w:p>
        </w:tc>
        <w:tc>
          <w:p>
            <w:pPr>
              <w:pStyle w:val="Compact"/>
              <w:jc w:val="left"/>
            </w:pPr>
            <w:r>
              <w:t xml:space="preserve">Ireland</w:t>
            </w:r>
          </w:p>
        </w:tc>
        <w:tc>
          <w:p>
            <w:pPr>
              <w:pStyle w:val="Compact"/>
              <w:jc w:val="left"/>
            </w:pPr>
            <w:r>
              <w:t xml:space="preserve">Acc</w:t>
            </w:r>
          </w:p>
        </w:tc>
        <w:tc>
          <w:p>
            <w:pPr>
              <w:pStyle w:val="Compact"/>
              <w:jc w:val="left"/>
            </w:pPr>
            <w:r>
              <w:t xml:space="preserve">High</w:t>
            </w:r>
          </w:p>
        </w:tc>
      </w:tr>
      <w:tr>
        <w:tc>
          <w:p>
            <w:pPr>
              <w:pStyle w:val="Compact"/>
              <w:jc w:val="left"/>
            </w:pPr>
            <w:r>
              <w:rPr>
                <w:b/>
              </w:rPr>
              <w:t xml:space="preserve">VWRA</w:t>
            </w:r>
          </w:p>
        </w:tc>
        <w:tc>
          <w:p>
            <w:pPr>
              <w:pStyle w:val="Compact"/>
              <w:jc w:val="left"/>
            </w:pPr>
            <w:r>
              <w:t xml:space="preserve">Vanguard FTSE All-World UCITS ETF (USD) Acc</w:t>
            </w:r>
          </w:p>
        </w:tc>
        <w:tc>
          <w:p>
            <w:pPr>
              <w:pStyle w:val="Compact"/>
              <w:jc w:val="left"/>
            </w:pPr>
            <w:r>
              <w:t xml:space="preserve">Vanguard</w:t>
            </w:r>
          </w:p>
        </w:tc>
        <w:tc>
          <w:p>
            <w:pPr>
              <w:pStyle w:val="Compact"/>
              <w:jc w:val="left"/>
            </w:pPr>
            <w:r>
              <w:t xml:space="preserve">FTSE All-World</w:t>
            </w:r>
          </w:p>
        </w:tc>
        <w:tc>
          <w:p>
            <w:pPr>
              <w:pStyle w:val="Compact"/>
              <w:jc w:val="left"/>
            </w:pPr>
            <w:r>
              <w:t xml:space="preserve">0.19</w:t>
            </w:r>
          </w:p>
        </w:tc>
        <w:tc>
          <w:p>
            <w:pPr>
              <w:pStyle w:val="Compact"/>
              <w:jc w:val="left"/>
            </w:pPr>
            <w:r>
              <w:t xml:space="preserve">$75.7bn fund / $49.8bn class</w:t>
            </w:r>
          </w:p>
        </w:tc>
        <w:tc>
          <w:p>
            <w:pPr>
              <w:pStyle w:val="Compact"/>
              <w:jc w:val="left"/>
            </w:pPr>
            <w:r>
              <w:t xml:space="preserve">Ireland</w:t>
            </w:r>
          </w:p>
        </w:tc>
        <w:tc>
          <w:p>
            <w:pPr>
              <w:pStyle w:val="Compact"/>
              <w:jc w:val="left"/>
            </w:pPr>
            <w:r>
              <w:t xml:space="preserve">Acc</w:t>
            </w:r>
          </w:p>
        </w:tc>
        <w:tc>
          <w:p>
            <w:pPr>
              <w:pStyle w:val="Compact"/>
              <w:jc w:val="left"/>
            </w:pPr>
            <w:r>
              <w:t xml:space="preserve">High</w:t>
            </w:r>
          </w:p>
        </w:tc>
      </w:tr>
      <w:tr>
        <w:tc>
          <w:p>
            <w:pPr>
              <w:pStyle w:val="Compact"/>
              <w:jc w:val="left"/>
            </w:pPr>
            <w:r>
              <w:rPr>
                <w:b/>
              </w:rPr>
              <w:t xml:space="preserve">SPYI / IMID</w:t>
            </w:r>
          </w:p>
        </w:tc>
        <w:tc>
          <w:p>
            <w:pPr>
              <w:pStyle w:val="Compact"/>
              <w:jc w:val="left"/>
            </w:pPr>
            <w:r>
              <w:t xml:space="preserve">SPDR MSCI ACWI IMI UCITS ETF (Acc)</w:t>
            </w:r>
          </w:p>
        </w:tc>
        <w:tc>
          <w:p>
            <w:pPr>
              <w:pStyle w:val="Compact"/>
              <w:jc w:val="left"/>
            </w:pPr>
            <w:r>
              <w:t xml:space="preserve">State Street</w:t>
            </w:r>
          </w:p>
        </w:tc>
        <w:tc>
          <w:p>
            <w:pPr>
              <w:pStyle w:val="Compact"/>
              <w:jc w:val="left"/>
            </w:pPr>
            <w:r>
              <w:t xml:space="preserve">MSCI ACWI IMI</w:t>
            </w:r>
          </w:p>
        </w:tc>
        <w:tc>
          <w:p>
            <w:pPr>
              <w:pStyle w:val="Compact"/>
              <w:jc w:val="left"/>
            </w:pPr>
            <w:r>
              <w:t xml:space="preserve">0.17</w:t>
            </w:r>
          </w:p>
        </w:tc>
        <w:tc>
          <w:p>
            <w:pPr>
              <w:pStyle w:val="Compact"/>
              <w:jc w:val="left"/>
            </w:pPr>
            <w:r>
              <w:t xml:space="preserve">$8.21bn</w:t>
            </w:r>
          </w:p>
        </w:tc>
        <w:tc>
          <w:p>
            <w:pPr>
              <w:pStyle w:val="Compact"/>
              <w:jc w:val="left"/>
            </w:pPr>
            <w:r>
              <w:t xml:space="preserve">Ireland</w:t>
            </w:r>
          </w:p>
        </w:tc>
        <w:tc>
          <w:p>
            <w:pPr>
              <w:pStyle w:val="Compact"/>
              <w:jc w:val="left"/>
            </w:pPr>
            <w:r>
              <w:t xml:space="preserve">Acc</w:t>
            </w:r>
          </w:p>
        </w:tc>
        <w:tc>
          <w:p>
            <w:pPr>
              <w:pStyle w:val="Compact"/>
              <w:jc w:val="left"/>
            </w:pPr>
            <w:r>
              <w:t xml:space="preserve">Medium-High</w:t>
            </w:r>
          </w:p>
        </w:tc>
      </w:tr>
      <w:tr>
        <w:tc>
          <w:p>
            <w:pPr>
              <w:pStyle w:val="Compact"/>
              <w:jc w:val="left"/>
            </w:pPr>
            <w:r>
              <w:t xml:space="preserve">VWRD / VWRL</w:t>
            </w:r>
          </w:p>
        </w:tc>
        <w:tc>
          <w:p>
            <w:pPr>
              <w:pStyle w:val="Compact"/>
              <w:jc w:val="left"/>
            </w:pPr>
            <w:r>
              <w:t xml:space="preserve">Vanguard FTSE All-World UCITS ETF (USD) Dist</w:t>
            </w:r>
          </w:p>
        </w:tc>
        <w:tc>
          <w:p>
            <w:pPr>
              <w:pStyle w:val="Compact"/>
              <w:jc w:val="left"/>
            </w:pPr>
            <w:r>
              <w:t xml:space="preserve">Vanguard</w:t>
            </w:r>
          </w:p>
        </w:tc>
        <w:tc>
          <w:p>
            <w:pPr>
              <w:pStyle w:val="Compact"/>
              <w:jc w:val="left"/>
            </w:pPr>
            <w:r>
              <w:t xml:space="preserve">FTSE All-World</w:t>
            </w:r>
          </w:p>
        </w:tc>
        <w:tc>
          <w:p>
            <w:pPr>
              <w:pStyle w:val="Compact"/>
              <w:jc w:val="left"/>
            </w:pPr>
            <w:r>
              <w:t xml:space="preserve">0.19</w:t>
            </w:r>
          </w:p>
        </w:tc>
        <w:tc>
          <w:p>
            <w:pPr>
              <w:pStyle w:val="Compact"/>
              <w:jc w:val="left"/>
            </w:pPr>
            <w:r>
              <w:t xml:space="preserve">$72.4bn fund / $25.7bn class (31 May 2026)</w:t>
            </w:r>
          </w:p>
        </w:tc>
        <w:tc>
          <w:p>
            <w:pPr>
              <w:pStyle w:val="Compact"/>
              <w:jc w:val="left"/>
            </w:pPr>
            <w:r>
              <w:t xml:space="preserve">Ireland</w:t>
            </w:r>
          </w:p>
        </w:tc>
        <w:tc>
          <w:p>
            <w:pPr>
              <w:pStyle w:val="Compact"/>
              <w:jc w:val="left"/>
            </w:pPr>
            <w:r>
              <w:t xml:space="preserve">Dist (quarterly)</w:t>
            </w:r>
          </w:p>
        </w:tc>
        <w:tc>
          <w:p>
            <w:pPr>
              <w:pStyle w:val="Compact"/>
              <w:jc w:val="left"/>
            </w:pPr>
            <w:r>
              <w:t xml:space="preserve">High</w:t>
            </w:r>
          </w:p>
        </w:tc>
      </w:tr>
      <w:tr>
        <w:tc>
          <w:p>
            <w:pPr>
              <w:pStyle w:val="Compact"/>
              <w:jc w:val="left"/>
            </w:pPr>
            <w:r>
              <w:t xml:space="preserve">SSAC / ISAC</w:t>
            </w:r>
          </w:p>
        </w:tc>
        <w:tc>
          <w:p>
            <w:pPr>
              <w:pStyle w:val="Compact"/>
              <w:jc w:val="left"/>
            </w:pPr>
            <w:r>
              <w:t xml:space="preserve">iShares MSCI ACWI UCITS ETF (Acc)</w:t>
            </w:r>
          </w:p>
        </w:tc>
        <w:tc>
          <w:p>
            <w:pPr>
              <w:pStyle w:val="Compact"/>
              <w:jc w:val="left"/>
            </w:pPr>
            <w:r>
              <w:t xml:space="preserve">BlackRock</w:t>
            </w:r>
          </w:p>
        </w:tc>
        <w:tc>
          <w:p>
            <w:pPr>
              <w:pStyle w:val="Compact"/>
              <w:jc w:val="left"/>
            </w:pPr>
            <w:r>
              <w:t xml:space="preserve">MSCI ACWI</w:t>
            </w:r>
          </w:p>
        </w:tc>
        <w:tc>
          <w:p>
            <w:pPr>
              <w:pStyle w:val="Compact"/>
              <w:jc w:val="left"/>
            </w:pPr>
            <w:r>
              <w:t xml:space="preserve">0.20</w:t>
            </w:r>
          </w:p>
        </w:tc>
        <w:tc>
          <w:p>
            <w:pPr>
              <w:pStyle w:val="Compact"/>
              <w:jc w:val="left"/>
            </w:pPr>
            <w:r>
              <w:t xml:space="preserve">≈€30.0bn</w:t>
            </w:r>
          </w:p>
        </w:tc>
        <w:tc>
          <w:p>
            <w:pPr>
              <w:pStyle w:val="Compact"/>
              <w:jc w:val="left"/>
            </w:pPr>
            <w:r>
              <w:t xml:space="preserve">Ireland</w:t>
            </w:r>
          </w:p>
        </w:tc>
        <w:tc>
          <w:p>
            <w:pPr>
              <w:pStyle w:val="Compact"/>
              <w:jc w:val="left"/>
            </w:pPr>
            <w:r>
              <w:t xml:space="preserve">Acc</w:t>
            </w:r>
          </w:p>
        </w:tc>
        <w:tc>
          <w:p>
            <w:pPr>
              <w:pStyle w:val="Compact"/>
              <w:jc w:val="left"/>
            </w:pPr>
            <w:r>
              <w:t xml:space="preserve">High</w:t>
            </w:r>
          </w:p>
        </w:tc>
      </w:tr>
      <w:tr>
        <w:tc>
          <w:p>
            <w:pPr>
              <w:pStyle w:val="Compact"/>
              <w:jc w:val="left"/>
            </w:pPr>
            <w:r>
              <w:t xml:space="preserve">FWRG / FWIA</w:t>
            </w:r>
          </w:p>
        </w:tc>
        <w:tc>
          <w:p>
            <w:pPr>
              <w:pStyle w:val="Compact"/>
              <w:jc w:val="left"/>
            </w:pPr>
            <w:r>
              <w:t xml:space="preserve">Invesco FTSE All-World UCITS ETF (Acc)</w:t>
            </w:r>
          </w:p>
        </w:tc>
        <w:tc>
          <w:p>
            <w:pPr>
              <w:pStyle w:val="Compact"/>
              <w:jc w:val="left"/>
            </w:pPr>
            <w:r>
              <w:t xml:space="preserve">Invesco</w:t>
            </w:r>
          </w:p>
        </w:tc>
        <w:tc>
          <w:p>
            <w:pPr>
              <w:pStyle w:val="Compact"/>
              <w:jc w:val="left"/>
            </w:pPr>
            <w:r>
              <w:t xml:space="preserve">FTSE All-World</w:t>
            </w:r>
          </w:p>
        </w:tc>
        <w:tc>
          <w:p>
            <w:pPr>
              <w:pStyle w:val="Compact"/>
              <w:jc w:val="left"/>
            </w:pPr>
            <w:r>
              <w:t xml:space="preserve">0.15</w:t>
            </w:r>
          </w:p>
        </w:tc>
        <w:tc>
          <w:p>
            <w:pPr>
              <w:pStyle w:val="Compact"/>
              <w:jc w:val="left"/>
            </w:pPr>
            <w:r>
              <w:t xml:space="preserve">≈$3.2–3.7bn</w:t>
            </w:r>
          </w:p>
        </w:tc>
        <w:tc>
          <w:p>
            <w:pPr>
              <w:pStyle w:val="Compact"/>
              <w:jc w:val="left"/>
            </w:pPr>
            <w:r>
              <w:t xml:space="preserve">Ireland</w:t>
            </w:r>
          </w:p>
        </w:tc>
        <w:tc>
          <w:p>
            <w:pPr>
              <w:pStyle w:val="Compact"/>
              <w:jc w:val="left"/>
            </w:pPr>
            <w:r>
              <w:t xml:space="preserve">Acc</w:t>
            </w:r>
          </w:p>
        </w:tc>
        <w:tc>
          <w:p>
            <w:pPr>
              <w:pStyle w:val="Compact"/>
              <w:jc w:val="left"/>
            </w:pPr>
            <w:r>
              <w:t xml:space="preserve">Medium</w:t>
            </w:r>
          </w:p>
        </w:tc>
      </w:tr>
      <w:tr>
        <w:tc>
          <w:p>
            <w:pPr>
              <w:pStyle w:val="Compact"/>
              <w:jc w:val="left"/>
            </w:pPr>
            <w:r>
              <w:t xml:space="preserve">WEBN / WEBG</w:t>
            </w:r>
          </w:p>
        </w:tc>
        <w:tc>
          <w:p>
            <w:pPr>
              <w:pStyle w:val="Compact"/>
              <w:jc w:val="left"/>
            </w:pPr>
            <w:r>
              <w:t xml:space="preserve">Amundi Prime All Country World UCITS ETF (Acc)</w:t>
            </w:r>
          </w:p>
        </w:tc>
        <w:tc>
          <w:p>
            <w:pPr>
              <w:pStyle w:val="Compact"/>
              <w:jc w:val="left"/>
            </w:pPr>
            <w:r>
              <w:t xml:space="preserve">Amundi</w:t>
            </w:r>
          </w:p>
        </w:tc>
        <w:tc>
          <w:p>
            <w:pPr>
              <w:pStyle w:val="Compact"/>
              <w:jc w:val="left"/>
            </w:pPr>
            <w:r>
              <w:t xml:space="preserve">Solactive all-country (index name n/v)</w:t>
            </w:r>
          </w:p>
        </w:tc>
        <w:tc>
          <w:p>
            <w:pPr>
              <w:pStyle w:val="Compact"/>
              <w:jc w:val="left"/>
            </w:pPr>
            <w:r>
              <w:t xml:space="preserve">0.07</w:t>
            </w:r>
          </w:p>
        </w:tc>
        <w:tc>
          <w:p>
            <w:pPr>
              <w:pStyle w:val="Compact"/>
              <w:jc w:val="left"/>
            </w:pPr>
            <w:r>
              <w:t xml:space="preserve">≈€2.6bn (conflicting third-party figures)</w:t>
            </w:r>
          </w:p>
        </w:tc>
        <w:tc>
          <w:p>
            <w:pPr>
              <w:pStyle w:val="Compact"/>
              <w:jc w:val="left"/>
            </w:pPr>
            <w:r>
              <w:t xml:space="preserve">Ireland</w:t>
            </w:r>
          </w:p>
        </w:tc>
        <w:tc>
          <w:p>
            <w:pPr>
              <w:pStyle w:val="Compact"/>
              <w:jc w:val="left"/>
            </w:pPr>
            <w:r>
              <w:t xml:space="preserve">Acc</w:t>
            </w:r>
          </w:p>
        </w:tc>
        <w:tc>
          <w:p>
            <w:pPr>
              <w:pStyle w:val="Compact"/>
              <w:jc w:val="left"/>
            </w:pPr>
            <w:r>
              <w:t xml:space="preserve">Medium</w:t>
            </w:r>
          </w:p>
        </w:tc>
      </w:tr>
      <w:tr>
        <w:tc>
          <w:p>
            <w:pPr>
              <w:pStyle w:val="Compact"/>
              <w:jc w:val="left"/>
            </w:pPr>
            <w:r>
              <w:t xml:space="preserve">VT</w:t>
            </w:r>
          </w:p>
        </w:tc>
        <w:tc>
          <w:p>
            <w:pPr>
              <w:pStyle w:val="Compact"/>
              <w:jc w:val="left"/>
            </w:pPr>
            <w:r>
              <w:t xml:space="preserve">Vanguard Total World Stock ETF</w:t>
            </w:r>
          </w:p>
        </w:tc>
        <w:tc>
          <w:p>
            <w:pPr>
              <w:pStyle w:val="Compact"/>
              <w:jc w:val="left"/>
            </w:pPr>
            <w:r>
              <w:t xml:space="preserve">Vanguard</w:t>
            </w:r>
          </w:p>
        </w:tc>
        <w:tc>
          <w:p>
            <w:pPr>
              <w:pStyle w:val="Compact"/>
              <w:jc w:val="left"/>
            </w:pPr>
            <w:r>
              <w:t xml:space="preserve">FTSE Global All Cap</w:t>
            </w:r>
          </w:p>
        </w:tc>
        <w:tc>
          <w:p>
            <w:pPr>
              <w:pStyle w:val="Compact"/>
              <w:jc w:val="left"/>
            </w:pPr>
            <w:r>
              <w:t xml:space="preserve">0.06</w:t>
            </w:r>
          </w:p>
        </w:tc>
        <w:tc>
          <w:p>
            <w:pPr>
              <w:pStyle w:val="Compact"/>
              <w:jc w:val="left"/>
            </w:pPr>
            <w:r>
              <w:t xml:space="preserve">$77.6bn</w:t>
            </w:r>
          </w:p>
        </w:tc>
        <w:tc>
          <w:p>
            <w:pPr>
              <w:pStyle w:val="Compact"/>
              <w:jc w:val="left"/>
            </w:pPr>
            <w:r>
              <w:t xml:space="preserve">US</w:t>
            </w:r>
          </w:p>
        </w:tc>
        <w:tc>
          <w:p>
            <w:pPr>
              <w:pStyle w:val="Compact"/>
              <w:jc w:val="left"/>
            </w:pPr>
            <w:r>
              <w:t xml:space="preserve">Dist (quarterly)</w:t>
            </w:r>
          </w:p>
        </w:tc>
        <w:tc>
          <w:p>
            <w:pPr>
              <w:pStyle w:val="Compact"/>
              <w:jc w:val="left"/>
            </w:pPr>
            <w:r>
              <w:t xml:space="preserve">High</w:t>
            </w:r>
          </w:p>
        </w:tc>
      </w:tr>
      <w:tr>
        <w:tc>
          <w:p>
            <w:pPr>
              <w:pStyle w:val="Compact"/>
              <w:jc w:val="left"/>
            </w:pPr>
            <w:r>
              <w:t xml:space="preserve">VTI</w:t>
            </w:r>
          </w:p>
        </w:tc>
        <w:tc>
          <w:p>
            <w:pPr>
              <w:pStyle w:val="Compact"/>
              <w:jc w:val="left"/>
            </w:pPr>
            <w:r>
              <w:t xml:space="preserve">Vanguard Total Stock Market ETF</w:t>
            </w:r>
          </w:p>
        </w:tc>
        <w:tc>
          <w:p>
            <w:pPr>
              <w:pStyle w:val="Compact"/>
              <w:jc w:val="left"/>
            </w:pPr>
            <w:r>
              <w:t xml:space="preserve">Vanguard</w:t>
            </w:r>
          </w:p>
        </w:tc>
        <w:tc>
          <w:p>
            <w:pPr>
              <w:pStyle w:val="Compact"/>
              <w:jc w:val="left"/>
            </w:pPr>
            <w:r>
              <w:t xml:space="preserve">US total market —</w:t>
            </w:r>
            <w:r>
              <w:t xml:space="preserve"> </w:t>
            </w:r>
            <w:r>
              <w:rPr>
                <w:b/>
              </w:rPr>
              <w:t xml:space="preserve">benchmark renamed to Morningstar; confirm before use</w:t>
            </w:r>
          </w:p>
        </w:tc>
        <w:tc>
          <w:p>
            <w:pPr>
              <w:pStyle w:val="Compact"/>
              <w:jc w:val="left"/>
            </w:pPr>
            <w:r>
              <w:t xml:space="preserve">0.03</w:t>
            </w:r>
          </w:p>
        </w:tc>
        <w:tc>
          <w:p>
            <w:pPr>
              <w:pStyle w:val="Compact"/>
              <w:jc w:val="left"/>
            </w:pPr>
            <w:r>
              <w:t xml:space="preserve">$666.9bn</w:t>
            </w:r>
          </w:p>
        </w:tc>
        <w:tc>
          <w:p>
            <w:pPr>
              <w:pStyle w:val="Compact"/>
              <w:jc w:val="left"/>
            </w:pPr>
            <w:r>
              <w:t xml:space="preserve">US</w:t>
            </w:r>
          </w:p>
        </w:tc>
        <w:tc>
          <w:p>
            <w:pPr>
              <w:pStyle w:val="Compact"/>
              <w:jc w:val="left"/>
            </w:pPr>
            <w:r>
              <w:t xml:space="preserve">Dist</w:t>
            </w:r>
          </w:p>
        </w:tc>
        <w:tc>
          <w:p>
            <w:pPr>
              <w:pStyle w:val="Compact"/>
              <w:jc w:val="left"/>
            </w:pPr>
            <w:r>
              <w:t xml:space="preserve">High</w:t>
            </w:r>
          </w:p>
        </w:tc>
      </w:tr>
      <w:tr>
        <w:tc>
          <w:p>
            <w:pPr>
              <w:pStyle w:val="Compact"/>
              <w:jc w:val="left"/>
            </w:pPr>
            <w:r>
              <w:t xml:space="preserve">VXUS</w:t>
            </w:r>
          </w:p>
        </w:tc>
        <w:tc>
          <w:p>
            <w:pPr>
              <w:pStyle w:val="Compact"/>
              <w:jc w:val="left"/>
            </w:pPr>
            <w:r>
              <w:t xml:space="preserve">Vanguard Total International Stock ETF</w:t>
            </w:r>
          </w:p>
        </w:tc>
        <w:tc>
          <w:p>
            <w:pPr>
              <w:pStyle w:val="Compact"/>
              <w:jc w:val="left"/>
            </w:pPr>
            <w:r>
              <w:t xml:space="preserve">Vanguard</w:t>
            </w:r>
          </w:p>
        </w:tc>
        <w:tc>
          <w:p>
            <w:pPr>
              <w:pStyle w:val="Compact"/>
              <w:jc w:val="left"/>
            </w:pPr>
            <w:r>
              <w:t xml:space="preserve">FTSE Global All Cap ex US</w:t>
            </w:r>
          </w:p>
        </w:tc>
        <w:tc>
          <w:p>
            <w:pPr>
              <w:pStyle w:val="Compact"/>
              <w:jc w:val="left"/>
            </w:pPr>
            <w:r>
              <w:t xml:space="preserve">0.05</w:t>
            </w:r>
          </w:p>
        </w:tc>
        <w:tc>
          <w:p>
            <w:pPr>
              <w:pStyle w:val="Compact"/>
              <w:jc w:val="left"/>
            </w:pPr>
            <w:r>
              <w:t xml:space="preserve">$158.1bn</w:t>
            </w:r>
          </w:p>
        </w:tc>
        <w:tc>
          <w:p>
            <w:pPr>
              <w:pStyle w:val="Compact"/>
              <w:jc w:val="left"/>
            </w:pPr>
            <w:r>
              <w:t xml:space="preserve">US</w:t>
            </w:r>
          </w:p>
        </w:tc>
        <w:tc>
          <w:p>
            <w:pPr>
              <w:pStyle w:val="Compact"/>
              <w:jc w:val="left"/>
            </w:pPr>
            <w:r>
              <w:t xml:space="preserve">Dist</w:t>
            </w:r>
          </w:p>
        </w:tc>
        <w:tc>
          <w:p>
            <w:pPr>
              <w:pStyle w:val="Compact"/>
              <w:jc w:val="left"/>
            </w:pPr>
            <w:r>
              <w:t xml:space="preserve">High</w:t>
            </w:r>
          </w:p>
        </w:tc>
      </w:tr>
      <w:tr>
        <w:tc>
          <w:p>
            <w:pPr>
              <w:pStyle w:val="Compact"/>
              <w:jc w:val="left"/>
            </w:pPr>
            <w:r>
              <w:t xml:space="preserve">VWO</w:t>
            </w:r>
          </w:p>
        </w:tc>
        <w:tc>
          <w:p>
            <w:pPr>
              <w:pStyle w:val="Compact"/>
              <w:jc w:val="left"/>
            </w:pPr>
            <w:r>
              <w:t xml:space="preserve">Vanguard FTSE Emerging Markets ETF</w:t>
            </w:r>
          </w:p>
        </w:tc>
        <w:tc>
          <w:p>
            <w:pPr>
              <w:pStyle w:val="Compact"/>
              <w:jc w:val="left"/>
            </w:pPr>
            <w:r>
              <w:t xml:space="preserve">Vanguard</w:t>
            </w:r>
          </w:p>
        </w:tc>
        <w:tc>
          <w:p>
            <w:pPr>
              <w:pStyle w:val="Compact"/>
              <w:jc w:val="left"/>
            </w:pPr>
            <w:r>
              <w:t xml:space="preserve">FTSE EM All Cap China A Inclusion</w:t>
            </w:r>
          </w:p>
        </w:tc>
        <w:tc>
          <w:p>
            <w:pPr>
              <w:pStyle w:val="Compact"/>
              <w:jc w:val="left"/>
            </w:pPr>
            <w:r>
              <w:t xml:space="preserve">0.06</w:t>
            </w:r>
          </w:p>
        </w:tc>
        <w:tc>
          <w:p>
            <w:pPr>
              <w:pStyle w:val="Compact"/>
              <w:jc w:val="left"/>
            </w:pPr>
            <w:r>
              <w:t xml:space="preserve">$122.0bn</w:t>
            </w:r>
          </w:p>
        </w:tc>
        <w:tc>
          <w:p>
            <w:pPr>
              <w:pStyle w:val="Compact"/>
              <w:jc w:val="left"/>
            </w:pPr>
            <w:r>
              <w:t xml:space="preserve">US</w:t>
            </w:r>
          </w:p>
        </w:tc>
        <w:tc>
          <w:p>
            <w:pPr>
              <w:pStyle w:val="Compact"/>
              <w:jc w:val="left"/>
            </w:pPr>
            <w:r>
              <w:t xml:space="preserve">Dist</w:t>
            </w:r>
          </w:p>
        </w:tc>
        <w:tc>
          <w:p>
            <w:pPr>
              <w:pStyle w:val="Compact"/>
              <w:jc w:val="left"/>
            </w:pPr>
            <w:r>
              <w:t xml:space="preserve">High</w:t>
            </w:r>
          </w:p>
        </w:tc>
      </w:tr>
    </w:tbl>
    <w:p>
      <w:pPr>
        <w:pStyle w:val="Heading3"/>
      </w:pPr>
      <w:bookmarkStart w:id="25" w:name="bonds"/>
      <w:r>
        <w:t xml:space="preserve">Bonds</w:t>
      </w:r>
      <w:bookmarkEnd w:id="25"/>
    </w:p>
    <w:tbl>
      <w:tblPr>
        <w:tblStyle w:val="Table"/>
        <w:tblW w:type="pct" w:w="4999.999999999998"/>
        <w:tblLook w:firstRow="1"/>
      </w:tblPr>
      <w:tblGrid>
        <w:gridCol w:w="879"/>
        <w:gridCol w:w="879"/>
        <w:gridCol w:w="879"/>
        <w:gridCol w:w="879"/>
        <w:gridCol w:w="879"/>
        <w:gridCol w:w="879"/>
        <w:gridCol w:w="879"/>
        <w:gridCol w:w="879"/>
        <w:gridCol w:w="879"/>
      </w:tblGrid>
      <w:tr>
        <w:trPr>
          <w:cnfStyle w:firstRow="1"/>
        </w:trPr>
        <w:tc>
          <w:tcPr>
            <w:tcBorders>
              <w:bottom w:val="single"/>
            </w:tcBorders>
            <w:vAlign w:val="bottom"/>
          </w:tcPr>
          <w:p>
            <w:pPr>
              <w:pStyle w:val="Compact"/>
              <w:jc w:val="left"/>
            </w:pPr>
            <w:r>
              <w:t xml:space="preserve">Ticker</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Credit Quality</w:t>
            </w:r>
          </w:p>
        </w:tc>
        <w:tc>
          <w:tcPr>
            <w:tcBorders>
              <w:bottom w:val="single"/>
            </w:tcBorders>
            <w:vAlign w:val="bottom"/>
          </w:tcPr>
          <w:p>
            <w:pPr>
              <w:pStyle w:val="Compact"/>
              <w:jc w:val="left"/>
            </w:pPr>
            <w:r>
              <w:t xml:space="preserve">TER %</w:t>
            </w:r>
          </w:p>
        </w:tc>
        <w:tc>
          <w:tcPr>
            <w:tcBorders>
              <w:bottom w:val="single"/>
            </w:tcBorders>
            <w:vAlign w:val="bottom"/>
          </w:tcPr>
          <w:p>
            <w:pPr>
              <w:pStyle w:val="Compact"/>
              <w:jc w:val="left"/>
            </w:pPr>
            <w:r>
              <w:t xml:space="preserve">AUM</w:t>
            </w:r>
          </w:p>
        </w:tc>
        <w:tc>
          <w:tcPr>
            <w:tcBorders>
              <w:bottom w:val="single"/>
            </w:tcBorders>
            <w:vAlign w:val="bottom"/>
          </w:tcPr>
          <w:p>
            <w:pPr>
              <w:pStyle w:val="Compact"/>
              <w:jc w:val="left"/>
            </w:pPr>
            <w:r>
              <w:t xml:space="preserve">Domicile</w:t>
            </w:r>
          </w:p>
        </w:tc>
        <w:tc>
          <w:tcPr>
            <w:tcBorders>
              <w:bottom w:val="single"/>
            </w:tcBorders>
            <w:vAlign w:val="bottom"/>
          </w:tcPr>
          <w:p>
            <w:pPr>
              <w:pStyle w:val="Compact"/>
              <w:jc w:val="left"/>
            </w:pPr>
            <w:r>
              <w:t xml:space="preserve">Liquidity</w:t>
            </w:r>
          </w:p>
        </w:tc>
      </w:tr>
      <w:tr>
        <w:tc>
          <w:p>
            <w:pPr>
              <w:pStyle w:val="Compact"/>
              <w:jc w:val="left"/>
            </w:pPr>
            <w:r>
              <w:rPr>
                <w:b/>
              </w:rPr>
              <w:t xml:space="preserve">AGGU</w:t>
            </w:r>
          </w:p>
        </w:tc>
        <w:tc>
          <w:p>
            <w:pPr>
              <w:pStyle w:val="Compact"/>
              <w:jc w:val="left"/>
            </w:pPr>
            <w:r>
              <w:t xml:space="preserve">iShares Core Global Aggregate Bond UCITS ETF USD Hedged (Acc)</w:t>
            </w:r>
          </w:p>
        </w:tc>
        <w:tc>
          <w:p>
            <w:pPr>
              <w:pStyle w:val="Compact"/>
              <w:jc w:val="left"/>
            </w:pPr>
            <w:r>
              <w:t xml:space="preserve">Global aggregate, USD-hedged</w:t>
            </w:r>
          </w:p>
        </w:tc>
        <w:tc>
          <w:p>
            <w:pPr>
              <w:pStyle w:val="Compact"/>
              <w:jc w:val="left"/>
            </w:pPr>
            <w:r>
              <w:t xml:space="preserve">6.09 (effective)</w:t>
            </w:r>
          </w:p>
        </w:tc>
        <w:tc>
          <w:p>
            <w:pPr>
              <w:pStyle w:val="Compact"/>
              <w:jc w:val="left"/>
            </w:pPr>
            <w:r>
              <w:t xml:space="preserve">Investment grade; Treasuries 53.2%, agency 9.6%, banking 4.8%</w:t>
            </w:r>
          </w:p>
        </w:tc>
        <w:tc>
          <w:p>
            <w:pPr>
              <w:pStyle w:val="Compact"/>
              <w:jc w:val="left"/>
            </w:pPr>
            <w:r>
              <w:t xml:space="preserve">0.10</w:t>
            </w:r>
          </w:p>
        </w:tc>
        <w:tc>
          <w:p>
            <w:pPr>
              <w:pStyle w:val="Compact"/>
              <w:jc w:val="left"/>
            </w:pPr>
            <w:r>
              <w:t xml:space="preserve">$14.10bn fund / $4.08bn class</w:t>
            </w:r>
          </w:p>
        </w:tc>
        <w:tc>
          <w:p>
            <w:pPr>
              <w:pStyle w:val="Compact"/>
              <w:jc w:val="left"/>
            </w:pPr>
            <w:r>
              <w:t xml:space="preserve">Ireland</w:t>
            </w:r>
          </w:p>
        </w:tc>
        <w:tc>
          <w:p>
            <w:pPr>
              <w:pStyle w:val="Compact"/>
              <w:jc w:val="left"/>
            </w:pPr>
            <w:r>
              <w:t xml:space="preserve">High</w:t>
            </w:r>
          </w:p>
        </w:tc>
      </w:tr>
      <w:tr>
        <w:tc>
          <w:p>
            <w:pPr>
              <w:pStyle w:val="Compact"/>
              <w:jc w:val="left"/>
            </w:pPr>
            <w:r>
              <w:t xml:space="preserve">VAGU</w:t>
            </w:r>
          </w:p>
        </w:tc>
        <w:tc>
          <w:p>
            <w:pPr>
              <w:pStyle w:val="Compact"/>
              <w:jc w:val="left"/>
            </w:pPr>
            <w:r>
              <w:t xml:space="preserve">Vanguard Global Aggregate Bond UCITS ETF USD Hedged (Acc)</w:t>
            </w:r>
          </w:p>
        </w:tc>
        <w:tc>
          <w:p>
            <w:pPr>
              <w:pStyle w:val="Compact"/>
              <w:jc w:val="left"/>
            </w:pPr>
            <w:r>
              <w:t xml:space="preserve">Global aggregate, USD-hedged</w:t>
            </w:r>
          </w:p>
        </w:tc>
        <w:tc>
          <w:p>
            <w:pPr>
              <w:pStyle w:val="Compact"/>
              <w:jc w:val="left"/>
            </w:pPr>
            <w:r>
              <w:t xml:space="preserve">n/v</w:t>
            </w:r>
          </w:p>
        </w:tc>
        <w:tc>
          <w:p>
            <w:pPr>
              <w:pStyle w:val="Compact"/>
              <w:jc w:val="left"/>
            </w:pPr>
            <w:r>
              <w:t xml:space="preserve">Investment grade</w:t>
            </w:r>
          </w:p>
        </w:tc>
        <w:tc>
          <w:p>
            <w:pPr>
              <w:pStyle w:val="Compact"/>
              <w:jc w:val="left"/>
            </w:pPr>
            <w:r>
              <w:t xml:space="preserve">0.08</w:t>
            </w:r>
          </w:p>
        </w:tc>
        <w:tc>
          <w:p>
            <w:pPr>
              <w:pStyle w:val="Compact"/>
              <w:jc w:val="left"/>
            </w:pPr>
            <w:r>
              <w:t xml:space="preserve">≈€584m</w:t>
            </w:r>
          </w:p>
        </w:tc>
        <w:tc>
          <w:p>
            <w:pPr>
              <w:pStyle w:val="Compact"/>
              <w:jc w:val="left"/>
            </w:pPr>
            <w:r>
              <w:t xml:space="preserve">Ireland</w:t>
            </w:r>
          </w:p>
        </w:tc>
        <w:tc>
          <w:p>
            <w:pPr>
              <w:pStyle w:val="Compact"/>
              <w:jc w:val="left"/>
            </w:pPr>
            <w:r>
              <w:t xml:space="preserve">Medium</w:t>
            </w:r>
          </w:p>
        </w:tc>
      </w:tr>
      <w:tr>
        <w:tc>
          <w:p>
            <w:pPr>
              <w:pStyle w:val="Compact"/>
              <w:jc w:val="left"/>
            </w:pPr>
            <w:r>
              <w:t xml:space="preserve">BNDW</w:t>
            </w:r>
          </w:p>
        </w:tc>
        <w:tc>
          <w:p>
            <w:pPr>
              <w:pStyle w:val="Compact"/>
              <w:jc w:val="left"/>
            </w:pPr>
            <w:r>
              <w:t xml:space="preserve">Vanguard Total World Bond ETF</w:t>
            </w:r>
          </w:p>
        </w:tc>
        <w:tc>
          <w:p>
            <w:pPr>
              <w:pStyle w:val="Compact"/>
              <w:jc w:val="left"/>
            </w:pPr>
            <w:r>
              <w:t xml:space="preserve">Global aggregate (fund of BND + BNDX)</w:t>
            </w:r>
          </w:p>
        </w:tc>
        <w:tc>
          <w:p>
            <w:pPr>
              <w:pStyle w:val="Compact"/>
              <w:jc w:val="left"/>
            </w:pPr>
            <w:r>
              <w:t xml:space="preserve">n/v</w:t>
            </w:r>
          </w:p>
        </w:tc>
        <w:tc>
          <w:p>
            <w:pPr>
              <w:pStyle w:val="Compact"/>
              <w:jc w:val="left"/>
            </w:pPr>
            <w:r>
              <w:t xml:space="preserve">Investment grade</w:t>
            </w:r>
          </w:p>
        </w:tc>
        <w:tc>
          <w:p>
            <w:pPr>
              <w:pStyle w:val="Compact"/>
              <w:jc w:val="left"/>
            </w:pPr>
            <w:r>
              <w:t xml:space="preserve">0.05</w:t>
            </w:r>
          </w:p>
        </w:tc>
        <w:tc>
          <w:p>
            <w:pPr>
              <w:pStyle w:val="Compact"/>
              <w:jc w:val="left"/>
            </w:pPr>
            <w:r>
              <w:t xml:space="preserve">$1.9bn</w:t>
            </w:r>
          </w:p>
        </w:tc>
        <w:tc>
          <w:p>
            <w:pPr>
              <w:pStyle w:val="Compact"/>
              <w:jc w:val="left"/>
            </w:pPr>
            <w:r>
              <w:t xml:space="preserve">US</w:t>
            </w:r>
          </w:p>
        </w:tc>
        <w:tc>
          <w:p>
            <w:pPr>
              <w:pStyle w:val="Compact"/>
              <w:jc w:val="left"/>
            </w:pPr>
            <w:r>
              <w:t xml:space="preserve">Medium</w:t>
            </w:r>
          </w:p>
        </w:tc>
      </w:tr>
    </w:tbl>
    <w:p>
      <w:pPr>
        <w:pStyle w:val="BodyText"/>
      </w:pPr>
      <w:r>
        <w:rPr>
          <w:rStyle w:val="VerbatimChar"/>
        </w:rPr>
        <w:t xml:space="preserve">Data as of 2026-08-05, sourced from issuer factsheets and issuer product pages (Vanguard figures as at 30 June 2026; iShares and SSGA figures as at 3–5 August 2026).</w:t>
      </w:r>
    </w:p>
    <w:p>
      <w:pPr>
        <w:pStyle w:val="BodyText"/>
      </w:pPr>
      <w:r>
        <w:rPr>
          <w:b/>
        </w:rPr>
        <w:t xml:space="preserve">Bold = core candidates.</w:t>
      </w:r>
      <w:r>
        <w:t xml:space="preserve"> </w:t>
      </w:r>
      <w:r>
        <w:t xml:space="preserve">Fields marked</w:t>
      </w:r>
      <w:r>
        <w:t xml:space="preserve"> </w:t>
      </w:r>
      <w:r>
        <w:rPr>
          <w:rStyle w:val="VerbatimChar"/>
        </w:rPr>
        <w:t xml:space="preserve">n/v</w:t>
      </w:r>
      <w:r>
        <w:t xml:space="preserve"> </w:t>
      </w:r>
      <w:r>
        <w:t xml:space="preserve">were not verifiable at the issuer level in this pass: VAGU and BNDW effective duration, the Amundi Prime index name and a reliable AUM, and the MSCI World geographic breakdown (the iShares factsheet renders it as a chart image, not text).</w:t>
      </w:r>
    </w:p>
    <w:p>
      <w:pPr>
        <w:pStyle w:val="Heading3"/>
      </w:pPr>
      <w:bookmarkStart w:id="26" w:name="what-was-cut-and-why"/>
      <w:r>
        <w:t xml:space="preserve">What was cut, and why</w:t>
      </w:r>
      <w:bookmarkEnd w:id="26"/>
    </w:p>
    <w:p>
      <w:pPr>
        <w:numPr>
          <w:ilvl w:val="0"/>
          <w:numId w:val="1002"/>
        </w:numPr>
        <w:pStyle w:val="Compact"/>
      </w:pPr>
      <w:r>
        <w:rPr>
          <w:b/>
        </w:rPr>
        <w:t xml:space="preserve">VWRD / VWRL</w:t>
      </w:r>
      <w:r>
        <w:t xml:space="preserve"> </w:t>
      </w:r>
      <w:r>
        <w:t xml:space="preserve">— same fund as VWRA, distributing share class. Cut for the accumulation phase only: a quarterly distribution stream is four BRL conversion events per year per holding, for no benefit while you are reinvesting anyway. Revisit around year 20.</w:t>
      </w:r>
    </w:p>
    <w:p>
      <w:pPr>
        <w:numPr>
          <w:ilvl w:val="0"/>
          <w:numId w:val="1002"/>
        </w:numPr>
        <w:pStyle w:val="Compact"/>
      </w:pPr>
      <w:r>
        <w:rPr>
          <w:b/>
        </w:rPr>
        <w:t xml:space="preserve">SSAC / ISAC</w:t>
      </w:r>
      <w:r>
        <w:t xml:space="preserve"> </w:t>
      </w:r>
      <w:r>
        <w:t xml:space="preserve">— MSCI ACWI, large/mid only, 0.20%. Strictly dominated by SPYI (same provider family logic, broader index, lower fee).</w:t>
      </w:r>
    </w:p>
    <w:p>
      <w:pPr>
        <w:numPr>
          <w:ilvl w:val="0"/>
          <w:numId w:val="1002"/>
        </w:numPr>
        <w:pStyle w:val="Compact"/>
      </w:pPr>
      <w:r>
        <w:rPr>
          <w:b/>
        </w:rPr>
        <w:t xml:space="preserve">FWRG</w:t>
      </w:r>
      <w:r>
        <w:t xml:space="preserve"> </w:t>
      </w:r>
      <w:r>
        <w:t xml:space="preserve">— 0.15% and a legitimate FTSE All-World tracker, but ~$3bn and launched mid-2023. Not enough tracking history to prefer it over VWRA at a 4 bp saving.</w:t>
      </w:r>
    </w:p>
    <w:p>
      <w:pPr>
        <w:numPr>
          <w:ilvl w:val="0"/>
          <w:numId w:val="1002"/>
        </w:numPr>
        <w:pStyle w:val="Compact"/>
      </w:pPr>
      <w:r>
        <w:rPr>
          <w:b/>
        </w:rPr>
        <w:t xml:space="preserve">WEBN / WEBG</w:t>
      </w:r>
      <w:r>
        <w:t xml:space="preserve"> </w:t>
      </w:r>
      <w:r>
        <w:t xml:space="preserve">— 0.07% is genuinely the cheapest all-country UCITS wrapper on the screen, and if it holds up it will pressure everyone else. Cut here for three reasons: I could not verify the index name or AUM on Amundi’s own site (JavaScript-rendered, not machine-readable), the fund is roughly two years old, and a Solactive index with a different float and country methodology is not interchangeable with FTSE All-World. Worth re-screening in 2027 with real tracking-difference data.</w:t>
      </w:r>
    </w:p>
    <w:p>
      <w:pPr>
        <w:numPr>
          <w:ilvl w:val="0"/>
          <w:numId w:val="1002"/>
        </w:numPr>
        <w:pStyle w:val="Compact"/>
      </w:pPr>
      <w:r>
        <w:rPr>
          <w:b/>
        </w:rPr>
        <w:t xml:space="preserve">VT, VTI, VXUS, VWO</w:t>
      </w:r>
      <w:r>
        <w:t xml:space="preserve"> </w:t>
      </w:r>
      <w:r>
        <w:t xml:space="preserve">— all excellent funds, all cut on domicile rather than merit. Kept in the table because the US-listed route is a real alternative and section 5 prices it.</w:t>
      </w:r>
    </w:p>
    <w:p>
      <w:pPr>
        <w:numPr>
          <w:ilvl w:val="0"/>
          <w:numId w:val="1002"/>
        </w:numPr>
        <w:pStyle w:val="Compact"/>
      </w:pPr>
      <w:r>
        <w:rPr>
          <w:b/>
        </w:rPr>
        <w:t xml:space="preserve">VAGU</w:t>
      </w:r>
      <w:r>
        <w:t xml:space="preserve"> </w:t>
      </w:r>
      <w:r>
        <w:t xml:space="preserve">— cheaper than AGGU by 2 bp but roughly one twenty-fourth the size, and I could not verify its duration. The 2 bp does not pay for the size gap in a sleeve whose entire job is to be reliable.</w:t>
      </w:r>
    </w:p>
    <w:p>
      <w:pPr>
        <w:numPr>
          <w:ilvl w:val="0"/>
          <w:numId w:val="1002"/>
        </w:numPr>
        <w:pStyle w:val="Compact"/>
      </w:pPr>
      <w:r>
        <w:rPr>
          <w:b/>
        </w:rPr>
        <w:t xml:space="preserve">BNDW</w:t>
      </w:r>
      <w:r>
        <w:t xml:space="preserve"> </w:t>
      </w:r>
      <w:r>
        <w:t xml:space="preserve">— the natural US-listed bond partner, included in the mirror model, but $1.9bn is small for a core holding and it inherits the same domicile issues.</w:t>
      </w:r>
    </w:p>
    <w:p>
      <w:r>
        <w:pict>
          <v:rect style="width:0;height:1.5pt" o:hralign="center" o:hrstd="t" o:hr="t"/>
        </w:pict>
      </w:r>
    </w:p>
    <w:p>
      <w:pPr>
        <w:pStyle w:val="Heading2"/>
      </w:pPr>
      <w:bookmarkStart w:id="27" w:name="selected-etfs-detailed-notes"/>
      <w:r>
        <w:t xml:space="preserve">4. Selected ETFs — detailed notes</w:t>
      </w:r>
      <w:bookmarkEnd w:id="27"/>
    </w:p>
    <w:p>
      <w:pPr>
        <w:pStyle w:val="Heading3"/>
      </w:pPr>
      <w:bookmarkStart w:id="28" w:name="X1c00a2589c60c7c0514a316e9db264a986bbda8"/>
      <w:r>
        <w:t xml:space="preserve">IWDA / SWDA — iShares Core MSCI World UCITS ETF (IE00B4L5Y983)</w:t>
      </w:r>
      <w:bookmarkEnd w:id="28"/>
    </w:p>
    <w:p>
      <w:pPr>
        <w:pStyle w:val="FirstParagraph"/>
      </w:pPr>
      <w:r>
        <w:rPr>
          <w:b/>
        </w:rPr>
        <w:t xml:space="preserve">Overview.</w:t>
      </w:r>
      <w:r>
        <w:t xml:space="preserve"> </w:t>
      </w:r>
      <w:r>
        <w:t xml:space="preserve">Tracks MSCI World (Net) — 23 developed countries, roughly the top 85% of listed float in each. 1,283 holdings. Physical, optimised sampling. Accumulating. Launched September 2009, so a genuine 16-year track record rather than a backtest.</w:t>
      </w:r>
    </w:p>
    <w:p>
      <w:pPr>
        <w:pStyle w:val="BodyText"/>
      </w:pPr>
      <w:r>
        <w:rPr>
          <w:b/>
        </w:rPr>
        <w:t xml:space="preserve">Portfolio characteristics.</w:t>
      </w:r>
      <w:r>
        <w:t xml:space="preserve"> </w:t>
      </w:r>
      <w:r>
        <w:t xml:space="preserve">Sector: Information Technology 29.48%, Financials 16.54%, Industrials 11.49%, Consumer Discretionary 8.95%, Health Care 8.84%. Top 10 holdings 25.69% of the fund — NVIDIA 5.17%, Apple 4.76%, Microsoft 2.95%, Amazon 2.58%, Alphabet A+C 4.16% combined. P/E 26.09, P/B 4.08. Three-year standard deviation 12.42%, beta to benchmark 1.00. Geographic breakdown</w:t>
      </w:r>
      <w:r>
        <w:t xml:space="preserve"> </w:t>
      </w:r>
      <w:r>
        <w:rPr>
          <w:rStyle w:val="VerbatimChar"/>
        </w:rPr>
        <w:t xml:space="preserve">n/v</w:t>
      </w:r>
      <w:r>
        <w:t xml:space="preserve"> </w:t>
      </w:r>
      <w:r>
        <w:t xml:space="preserve">from the issuer factsheet, but it is necessarily more US-concentrated than the 61.7% US weight of the all-world FTSE index, since excluding EM raises every developed weight proportionally.</w:t>
      </w:r>
    </w:p>
    <w:p>
      <w:pPr>
        <w:pStyle w:val="BodyText"/>
      </w:pPr>
      <w:r>
        <w:rPr>
          <w:b/>
        </w:rPr>
        <w:t xml:space="preserve">Costs and tracking.</w:t>
      </w:r>
      <w:r>
        <w:t xml:space="preserve"> </w:t>
      </w:r>
      <w:r>
        <w:t xml:space="preserve">TER 0.20%. Tracking difference is where this fund earns its keep: annualised share-class NAV return versus MSCI World Net was</w:t>
      </w:r>
      <w:r>
        <w:t xml:space="preserve"> </w:t>
      </w:r>
      <w:r>
        <w:rPr>
          <w:b/>
        </w:rPr>
        <w:t xml:space="preserve">+0.01 pp at 1y, +0.04 pp at 3y, +0.06 pp at 5y</w:t>
      </w:r>
      <w:r>
        <w:t xml:space="preserve"> </w:t>
      </w:r>
      <w:r>
        <w:t xml:space="preserve">— the fund has beaten its net benchmark, which is what securities lending plus optimised sampling plus recoverable withholding can do. Securities lending return 0.02% for the year to 30 June 2026, average 8.08% of AUM on loan, collateralisation 108%. Fund retains 62.5% of lending income.</w:t>
      </w:r>
    </w:p>
    <w:p>
      <w:pPr>
        <w:pStyle w:val="BodyText"/>
      </w:pPr>
      <w:r>
        <w:rPr>
          <w:b/>
        </w:rPr>
        <w:t xml:space="preserve">Liquidity and IBKR implementation.</w:t>
      </w:r>
      <w:r>
        <w:t xml:space="preserve"> </w:t>
      </w:r>
      <w:r>
        <w:t xml:space="preserve">Nine listings. Use</w:t>
      </w:r>
      <w:r>
        <w:t xml:space="preserve"> </w:t>
      </w:r>
      <w:r>
        <w:rPr>
          <w:b/>
        </w:rPr>
        <w:t xml:space="preserve">IWDA on the LSE in USD</w:t>
      </w:r>
      <w:r>
        <w:t xml:space="preserve"> </w:t>
      </w:r>
      <w:r>
        <w:t xml:space="preserve">(SEDOL B4L5Y98) to keep the account in one currency and avoid an unnecessary FX leg. SWDA (LSE, GBP) and EUNL (Xetra, EUR) are the same fund in other currencies — do not mix them across purchases or your average-cost records become a mess. Limit orders during the London session; avoid the first and last ten minutes. Retail-sized orders need no working strategy.</w:t>
      </w:r>
    </w:p>
    <w:p>
      <w:pPr>
        <w:pStyle w:val="BodyText"/>
      </w:pPr>
      <w:r>
        <w:rPr>
          <w:b/>
        </w:rPr>
        <w:t xml:space="preserve">Risks.</w:t>
      </w:r>
      <w:r>
        <w:t xml:space="preserve"> </w:t>
      </w:r>
      <w:r>
        <w:t xml:space="preserve">Market risk first. Concentration is the live issue: a single stock at 5.17% and a top-10 at 25.7% is high by historical standards, and the technology weight near 30% is a sector bet you are taking passively. Currency: unhedged, so returns are in local currencies translated to USD and then to BRL — two layers. Structural: physical optimised (not full replication), so a small sampling error is possible; no counterparty exposure beyond securities lending, which is collateralised above 100%.</w:t>
      </w:r>
    </w:p>
    <w:p>
      <w:pPr>
        <w:pStyle w:val="BodyText"/>
      </w:pPr>
      <w:r>
        <w:rPr>
          <w:b/>
        </w:rPr>
        <w:t xml:space="preserve">Role.</w:t>
      </w:r>
      <w:r>
        <w:t xml:space="preserve"> </w:t>
      </w:r>
      <w:r>
        <w:t xml:space="preserve">Core equity engine. Diversifies across 23 developed markets. Overlaps with nothing else in the proposed portfolio — by MSCI construction it shares zero constituents with EIMI.</w:t>
      </w:r>
    </w:p>
    <w:p>
      <w:pPr>
        <w:pStyle w:val="Heading3"/>
      </w:pPr>
      <w:bookmarkStart w:id="29" w:name="Xdb2d9f047179455f85738cc06f4a27fcf109968"/>
      <w:r>
        <w:t xml:space="preserve">EIMI — iShares Core MSCI EM IMI UCITS ETF (IE00BKM4GZ66)</w:t>
      </w:r>
      <w:bookmarkEnd w:id="29"/>
    </w:p>
    <w:p>
      <w:pPr>
        <w:pStyle w:val="FirstParagraph"/>
      </w:pPr>
      <w:r>
        <w:rPr>
          <w:b/>
        </w:rPr>
        <w:t xml:space="preserve">Overview.</w:t>
      </w:r>
      <w:r>
        <w:t xml:space="preserve"> </w:t>
      </w:r>
      <w:r>
        <w:t xml:space="preserve">Tracks MSCI Emerging Markets Investable Market Index (Net) — large, mid</w:t>
      </w:r>
      <w:r>
        <w:t xml:space="preserve"> </w:t>
      </w:r>
      <w:r>
        <w:rPr>
          <w:b/>
        </w:rPr>
        <w:t xml:space="preserve">and</w:t>
      </w:r>
      <w:r>
        <w:t xml:space="preserve"> </w:t>
      </w:r>
      <w:r>
        <w:t xml:space="preserve">small cap across emerging markets. 3,056 holdings. Physical, fully replicated. Accumulating. Launched May 2014.</w:t>
      </w:r>
    </w:p>
    <w:p>
      <w:pPr>
        <w:pStyle w:val="BodyText"/>
      </w:pPr>
      <w:r>
        <w:rPr>
          <w:b/>
        </w:rPr>
        <w:t xml:space="preserve">Portfolio characteristics.</w:t>
      </w:r>
      <w:r>
        <w:t xml:space="preserve"> </w:t>
      </w:r>
      <w:r>
        <w:t xml:space="preserve">Sector: Information Technology 37.49%, Financials 19.28%, Consumer Discretionary 8.93%, Industrials 7.81%, Materials 6.27%. P/E 18.79, P/B 2.43 — a real valuation discount to IWDA’s 26.09 and 4.08, which is the substance of the EM case and also its warning. Three-year standard deviation 17.46% against IWDA’s 12.42%: EM is roughly 40% more volatile, and sizing should respect that.</w:t>
      </w:r>
    </w:p>
    <w:p>
      <w:pPr>
        <w:pStyle w:val="BodyText"/>
      </w:pPr>
      <w:r>
        <w:rPr>
          <w:b/>
        </w:rPr>
        <w:t xml:space="preserve">Costs and tracking.</w:t>
      </w:r>
      <w:r>
        <w:t xml:space="preserve"> </w:t>
      </w:r>
      <w:r>
        <w:t xml:space="preserve">TER 0.18%, cheaper than the developed-market fund, which is unusual and reflects scale. Securities lending return 0.12% for the year to 30 June 2026 — six times IWDA’s, with 11.82% average on loan; in a fund with a 0.18% fee, lending income is materially offsetting the expense ratio. Explicit tracking-difference figures were not published in text form on the product page; three-year beta to benchmark is 0.999.</w:t>
      </w:r>
    </w:p>
    <w:p>
      <w:pPr>
        <w:pStyle w:val="BodyText"/>
      </w:pPr>
      <w:r>
        <w:rPr>
          <w:b/>
        </w:rPr>
        <w:t xml:space="preserve">Liquidity and IBKR implementation.</w:t>
      </w:r>
      <w:r>
        <w:t xml:space="preserve"> </w:t>
      </w:r>
      <w:r>
        <w:t xml:space="preserve">Ten listings. Use</w:t>
      </w:r>
      <w:r>
        <w:t xml:space="preserve"> </w:t>
      </w:r>
      <w:r>
        <w:rPr>
          <w:b/>
        </w:rPr>
        <w:t xml:space="preserve">EIMI on the LSE in USD</w:t>
      </w:r>
      <w:r>
        <w:t xml:space="preserve"> </w:t>
      </w:r>
      <w:r>
        <w:t xml:space="preserve">(SEDOL BKM4GZ6). EMIM on the LSE is the GBP line of the same fund — a common and expensive confusion. Spreads are wider than IWDA’s, particularly outside the overlap when Asian markets are closed; place limits mid-session.</w:t>
      </w:r>
    </w:p>
    <w:p>
      <w:pPr>
        <w:pStyle w:val="BodyText"/>
      </w:pPr>
      <w:r>
        <w:rPr>
          <w:b/>
        </w:rPr>
        <w:t xml:space="preserve">Risks.</w:t>
      </w:r>
      <w:r>
        <w:t xml:space="preserve"> </w:t>
      </w:r>
      <w:r>
        <w:t xml:space="preserve">Higher market and political risk by construction. Currency risk is larger and less diversifiable than in developed markets. Country concentration in China, Taiwan, India and Korea. Liquidity of underlying small caps is the weakest link in a stress event. Full replication removes sampling risk but means holding the tail of genuinely illiquid names.</w:t>
      </w:r>
    </w:p>
    <w:p>
      <w:pPr>
        <w:pStyle w:val="BodyText"/>
      </w:pPr>
      <w:r>
        <w:rPr>
          <w:b/>
        </w:rPr>
        <w:t xml:space="preserve">Role.</w:t>
      </w:r>
      <w:r>
        <w:t xml:space="preserve"> </w:t>
      </w:r>
      <w:r>
        <w:t xml:space="preserve">Emerging-markets sleeve, held separately precisely so the weight is a decision rather than an accident.</w:t>
      </w:r>
      <w:r>
        <w:t xml:space="preserve"> </w:t>
      </w:r>
      <w:r>
        <w:rPr>
          <w:b/>
        </w:rPr>
        <w:t xml:space="preserve">Note the Korea classification difference:</w:t>
      </w:r>
      <w:r>
        <w:t xml:space="preserve"> </w:t>
      </w:r>
      <w:r>
        <w:t xml:space="preserve">MSCI treats South Korea as emerging, so EIMI holds it. FTSE treats Korea as developed — in the FTSE Global All Cap data, Korea (2.8%) sits under Pacific, not under the 10.0% emerging-markets subtotal. Choosing the MSCI pair rather than a FTSE all-world fund moves roughly 3% of global equity between your</w:t>
      </w:r>
      <w:r>
        <w:t xml:space="preserve"> </w:t>
      </w:r>
      <w:r>
        <w:t xml:space="preserve">“</w:t>
      </w:r>
      <w:r>
        <w:t xml:space="preserve">developed</w:t>
      </w:r>
      <w:r>
        <w:t xml:space="preserve">”</w:t>
      </w:r>
      <w:r>
        <w:t xml:space="preserve"> </w:t>
      </w:r>
      <w:r>
        <w:t xml:space="preserve">and</w:t>
      </w:r>
      <w:r>
        <w:t xml:space="preserve"> </w:t>
      </w:r>
      <w:r>
        <w:t xml:space="preserve">“</w:t>
      </w:r>
      <w:r>
        <w:t xml:space="preserve">emerging</w:t>
      </w:r>
      <w:r>
        <w:t xml:space="preserve">”</w:t>
      </w:r>
      <w:r>
        <w:t xml:space="preserve"> </w:t>
      </w:r>
      <w:r>
        <w:t xml:space="preserve">buckets. It is not a technicality if you are setting EM weight deliberately.</w:t>
      </w:r>
    </w:p>
    <w:p>
      <w:pPr>
        <w:pStyle w:val="Heading3"/>
      </w:pPr>
      <w:bookmarkStart w:id="30" w:name="X27a73136296e0c64c043b986582bee8ef2e7b2b"/>
      <w:r>
        <w:t xml:space="preserve">AGGU — iShares Core Global Aggregate Bond UCITS ETF USD Hedged (Acc) (IE00BZ043R46)</w:t>
      </w:r>
      <w:bookmarkEnd w:id="30"/>
    </w:p>
    <w:p>
      <w:pPr>
        <w:pStyle w:val="FirstParagraph"/>
      </w:pPr>
      <w:r>
        <w:rPr>
          <w:b/>
        </w:rPr>
        <w:t xml:space="preserve">Overview.</w:t>
      </w:r>
      <w:r>
        <w:t xml:space="preserve"> </w:t>
      </w:r>
      <w:r>
        <w:t xml:space="preserve">Tracks the Bloomberg Global Aggregate Bond Index — global investment-grade government, government-related, corporate and securitised debt, hedged to USD. 19,977 holdings. Physical, sampled. Accumulating. Launched November 2017.</w:t>
      </w:r>
    </w:p>
    <w:p>
      <w:pPr>
        <w:pStyle w:val="BodyText"/>
      </w:pPr>
      <w:r>
        <w:rPr>
          <w:b/>
        </w:rPr>
        <w:t xml:space="preserve">Portfolio characteristics.</w:t>
      </w:r>
      <w:r>
        <w:t xml:space="preserve"> </w:t>
      </w:r>
      <w:r>
        <w:t xml:space="preserve">Effective duration</w:t>
      </w:r>
      <w:r>
        <w:t xml:space="preserve"> </w:t>
      </w:r>
      <w:r>
        <w:rPr>
          <w:b/>
        </w:rPr>
        <w:t xml:space="preserve">6.09</w:t>
      </w:r>
      <w:r>
        <w:t xml:space="preserve">. Weighted average maturity 8.07 years. Weighted average YTM</w:t>
      </w:r>
      <w:r>
        <w:t xml:space="preserve"> </w:t>
      </w:r>
      <w:r>
        <w:rPr>
          <w:b/>
        </w:rPr>
        <w:t xml:space="preserve">4.00%</w:t>
      </w:r>
      <w:r>
        <w:t xml:space="preserve">, weighted average coupon 3.05%. Sector: Treasuries 53.16%, agency fixed rate 9.56%, owned-no-guarantee 6.33%, banking 4.82%, local authority 3.12%, supranational 2.82%. Investment grade throughout. Three-year standard deviation 4.12%; three-year beta 0.563 — this behaves like a bond fund, not an equity proxy.</w:t>
      </w:r>
    </w:p>
    <w:p>
      <w:pPr>
        <w:pStyle w:val="BodyText"/>
      </w:pPr>
      <w:r>
        <w:rPr>
          <w:b/>
        </w:rPr>
        <w:t xml:space="preserve">Costs and tracking.</w:t>
      </w:r>
      <w:r>
        <w:t xml:space="preserve"> </w:t>
      </w:r>
      <w:r>
        <w:t xml:space="preserve">TER 0.10%. Securities lending return 0.03%. Currency hedging is executed at share-class level with monthly rebalancing; hedging cost is embedded in returns rather than the TER, and in a steep-curve environment it is not trivial — judge this fund on total return versus a USD aggregate, not on its TER.</w:t>
      </w:r>
    </w:p>
    <w:p>
      <w:pPr>
        <w:pStyle w:val="BodyText"/>
      </w:pPr>
      <w:r>
        <w:rPr>
          <w:b/>
        </w:rPr>
        <w:t xml:space="preserve">Liquidity and IBKR implementation.</w:t>
      </w:r>
      <w:r>
        <w:t xml:space="preserve"> </w:t>
      </w:r>
      <w:r>
        <w:t xml:space="preserve">Listed on the LSE in USD, SIX in USD, plus Mexico and Tel Aviv. Use the</w:t>
      </w:r>
      <w:r>
        <w:t xml:space="preserve"> </w:t>
      </w:r>
      <w:r>
        <w:rPr>
          <w:b/>
        </w:rPr>
        <w:t xml:space="preserve">LSE USD line (AGGU)</w:t>
      </w:r>
      <w:r>
        <w:t xml:space="preserve">. The share class holds $4.08bn within a $14.10bn fund, so the specific line is well supported. Limit orders, London session. Note there are nine share classes of this fund including unhedged and distributing variants — confirm the ISIN, not just the ticker, before your first order.</w:t>
      </w:r>
    </w:p>
    <w:p>
      <w:pPr>
        <w:pStyle w:val="BodyText"/>
      </w:pPr>
      <w:r>
        <w:rPr>
          <w:b/>
        </w:rPr>
        <w:t xml:space="preserve">Risks.</w:t>
      </w:r>
      <w:r>
        <w:t xml:space="preserve"> </w:t>
      </w:r>
      <w:r>
        <w:t xml:space="preserve">Duration risk is the headline: a 100 bp parallel rise in global yields costs roughly 6% of price, offset over time by the 4.00% carry. Credit risk is investment-grade only but not zero. Hedging risk: the USD hedge removes foreign-currency volatility but not BRL exposure, and hedged returns converge toward USD short rates plus the credit and term premium of the underlying. Structural: sampled replication across nearly 20,000 bonds, so tracking is approximate by design.</w:t>
      </w:r>
    </w:p>
    <w:p>
      <w:pPr>
        <w:pStyle w:val="BodyText"/>
      </w:pPr>
      <w:r>
        <w:rPr>
          <w:b/>
        </w:rPr>
        <w:t xml:space="preserve">Role.</w:t>
      </w:r>
      <w:r>
        <w:t xml:space="preserve"> </w:t>
      </w:r>
      <w:r>
        <w:t xml:space="preserve">Stabiliser and rebalancing reservoir. Diversifies against equity drawdowns driven by growth shocks. Fails to diversify against inflation shocks — that limitation is explicit in section 5 and is not solvable within an aggregate bond fund.</w:t>
      </w:r>
    </w:p>
    <w:p>
      <w:r>
        <w:pict>
          <v:rect style="width:0;height:1.5pt" o:hralign="center" o:hrstd="t" o:hr="t"/>
        </w:pict>
      </w:r>
    </w:p>
    <w:p>
      <w:pPr>
        <w:pStyle w:val="Heading2"/>
      </w:pPr>
      <w:bookmarkStart w:id="31" w:name="proposed-portfolio-and-rationale"/>
      <w:r>
        <w:t xml:space="preserve">5. Proposed portfolio and rationale</w:t>
      </w:r>
      <w:bookmarkEnd w:id="31"/>
    </w:p>
    <w:p>
      <w:pPr>
        <w:pStyle w:val="Heading3"/>
      </w:pPr>
      <w:bookmarkStart w:id="32" w:name="model-a-growth-9010"/>
      <w:r>
        <w:t xml:space="preserve">Model A — Growth (90/10)</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Ticker</w:t>
            </w:r>
          </w:p>
        </w:tc>
        <w:tc>
          <w:tcPr>
            <w:tcBorders>
              <w:bottom w:val="single"/>
            </w:tcBorders>
            <w:vAlign w:val="bottom"/>
          </w:tcPr>
          <w:p>
            <w:pPr>
              <w:pStyle w:val="Compact"/>
              <w:jc w:val="left"/>
            </w:pPr>
            <w:r>
              <w:t xml:space="preserve">Sleeve</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Role</w:t>
            </w:r>
          </w:p>
        </w:tc>
      </w:tr>
      <w:tr>
        <w:tc>
          <w:p>
            <w:pPr>
              <w:pStyle w:val="Compact"/>
              <w:jc w:val="left"/>
            </w:pPr>
            <w:r>
              <w:t xml:space="preserve">IWDA</w:t>
            </w:r>
          </w:p>
        </w:tc>
        <w:tc>
          <w:p>
            <w:pPr>
              <w:pStyle w:val="Compact"/>
              <w:jc w:val="left"/>
            </w:pPr>
            <w:r>
              <w:t xml:space="preserve">Developed equity</w:t>
            </w:r>
          </w:p>
        </w:tc>
        <w:tc>
          <w:p>
            <w:pPr>
              <w:pStyle w:val="Compact"/>
              <w:jc w:val="left"/>
            </w:pPr>
            <w:r>
              <w:t xml:space="preserve">80%</w:t>
            </w:r>
          </w:p>
        </w:tc>
        <w:tc>
          <w:p>
            <w:pPr>
              <w:pStyle w:val="Compact"/>
              <w:jc w:val="left"/>
            </w:pPr>
            <w:r>
              <w:t xml:space="preserve">Return engine</w:t>
            </w:r>
          </w:p>
        </w:tc>
      </w:tr>
      <w:tr>
        <w:tc>
          <w:p>
            <w:pPr>
              <w:pStyle w:val="Compact"/>
              <w:jc w:val="left"/>
            </w:pPr>
            <w:r>
              <w:t xml:space="preserve">EIMI</w:t>
            </w:r>
          </w:p>
        </w:tc>
        <w:tc>
          <w:p>
            <w:pPr>
              <w:pStyle w:val="Compact"/>
              <w:jc w:val="left"/>
            </w:pPr>
            <w:r>
              <w:t xml:space="preserve">Emerging equity</w:t>
            </w:r>
          </w:p>
        </w:tc>
        <w:tc>
          <w:p>
            <w:pPr>
              <w:pStyle w:val="Compact"/>
              <w:jc w:val="left"/>
            </w:pPr>
            <w:r>
              <w:t xml:space="preserve">10%</w:t>
            </w:r>
          </w:p>
        </w:tc>
        <w:tc>
          <w:p>
            <w:pPr>
              <w:pStyle w:val="Compact"/>
              <w:jc w:val="left"/>
            </w:pPr>
            <w:r>
              <w:t xml:space="preserve">Growth diversifier, valuation exposure</w:t>
            </w:r>
          </w:p>
        </w:tc>
      </w:tr>
      <w:tr>
        <w:tc>
          <w:p>
            <w:pPr>
              <w:pStyle w:val="Compact"/>
              <w:jc w:val="left"/>
            </w:pPr>
            <w:r>
              <w:t xml:space="preserve">AGGU</w:t>
            </w:r>
          </w:p>
        </w:tc>
        <w:tc>
          <w:p>
            <w:pPr>
              <w:pStyle w:val="Compact"/>
              <w:jc w:val="left"/>
            </w:pPr>
            <w:r>
              <w:t xml:space="preserve">Global aggregate, USD-hedged</w:t>
            </w:r>
          </w:p>
        </w:tc>
        <w:tc>
          <w:p>
            <w:pPr>
              <w:pStyle w:val="Compact"/>
              <w:jc w:val="left"/>
            </w:pPr>
            <w:r>
              <w:t xml:space="preserve">10%</w:t>
            </w:r>
          </w:p>
        </w:tc>
        <w:tc>
          <w:p>
            <w:pPr>
              <w:pStyle w:val="Compact"/>
              <w:jc w:val="left"/>
            </w:pPr>
            <w:r>
              <w:t xml:space="preserve">Token stabiliser, rebalancing source</w:t>
            </w:r>
          </w:p>
        </w:tc>
      </w:tr>
      <w:tr>
        <w:tc>
          <w:p/>
        </w:tc>
        <w:tc>
          <w:p/>
        </w:tc>
        <w:tc>
          <w:p>
            <w:pPr>
              <w:pStyle w:val="Compact"/>
              <w:jc w:val="left"/>
            </w:pPr>
            <w:r>
              <w:rPr>
                <w:b/>
              </w:rPr>
              <w:t xml:space="preserve">100%</w:t>
            </w:r>
          </w:p>
        </w:tc>
        <w:tc>
          <w:p>
            <w:pPr>
              <w:pStyle w:val="Compact"/>
              <w:jc w:val="left"/>
            </w:pPr>
            <w:r>
              <w:t xml:space="preserve">Blended TER</w:t>
            </w:r>
            <w:r>
              <w:t xml:space="preserve"> </w:t>
            </w:r>
            <w:r>
              <w:rPr>
                <w:b/>
              </w:rPr>
              <w:t xml:space="preserve">0.188%</w:t>
            </w:r>
          </w:p>
        </w:tc>
      </w:tr>
    </w:tbl>
    <w:p>
      <w:pPr>
        <w:pStyle w:val="Heading3"/>
      </w:pPr>
      <w:bookmarkStart w:id="33" w:name="model-b-recommended-8020"/>
      <w:r>
        <w:t xml:space="preserve">Model B — Recommended (80/20)</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Ticker</w:t>
            </w:r>
          </w:p>
        </w:tc>
        <w:tc>
          <w:tcPr>
            <w:tcBorders>
              <w:bottom w:val="single"/>
            </w:tcBorders>
            <w:vAlign w:val="bottom"/>
          </w:tcPr>
          <w:p>
            <w:pPr>
              <w:pStyle w:val="Compact"/>
              <w:jc w:val="left"/>
            </w:pPr>
            <w:r>
              <w:t xml:space="preserve">Sleeve</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Role</w:t>
            </w:r>
          </w:p>
        </w:tc>
      </w:tr>
      <w:tr>
        <w:tc>
          <w:p>
            <w:pPr>
              <w:pStyle w:val="Compact"/>
              <w:jc w:val="left"/>
            </w:pPr>
            <w:r>
              <w:t xml:space="preserve">IWDA</w:t>
            </w:r>
          </w:p>
        </w:tc>
        <w:tc>
          <w:p>
            <w:pPr>
              <w:pStyle w:val="Compact"/>
              <w:jc w:val="left"/>
            </w:pPr>
            <w:r>
              <w:t xml:space="preserve">Developed equity</w:t>
            </w:r>
          </w:p>
        </w:tc>
        <w:tc>
          <w:p>
            <w:pPr>
              <w:pStyle w:val="Compact"/>
              <w:jc w:val="left"/>
            </w:pPr>
            <w:r>
              <w:t xml:space="preserve">70%</w:t>
            </w:r>
          </w:p>
        </w:tc>
        <w:tc>
          <w:p>
            <w:pPr>
              <w:pStyle w:val="Compact"/>
              <w:jc w:val="left"/>
            </w:pPr>
            <w:r>
              <w:t xml:space="preserve">Return engine</w:t>
            </w:r>
          </w:p>
        </w:tc>
      </w:tr>
      <w:tr>
        <w:tc>
          <w:p>
            <w:pPr>
              <w:pStyle w:val="Compact"/>
              <w:jc w:val="left"/>
            </w:pPr>
            <w:r>
              <w:t xml:space="preserve">EIMI</w:t>
            </w:r>
          </w:p>
        </w:tc>
        <w:tc>
          <w:p>
            <w:pPr>
              <w:pStyle w:val="Compact"/>
              <w:jc w:val="left"/>
            </w:pPr>
            <w:r>
              <w:t xml:space="preserve">Emerging equity</w:t>
            </w:r>
          </w:p>
        </w:tc>
        <w:tc>
          <w:p>
            <w:pPr>
              <w:pStyle w:val="Compact"/>
              <w:jc w:val="left"/>
            </w:pPr>
            <w:r>
              <w:t xml:space="preserve">10%</w:t>
            </w:r>
          </w:p>
        </w:tc>
        <w:tc>
          <w:p>
            <w:pPr>
              <w:pStyle w:val="Compact"/>
              <w:jc w:val="left"/>
            </w:pPr>
            <w:r>
              <w:t xml:space="preserve">Emerging exposure at 12.5% of equity</w:t>
            </w:r>
          </w:p>
        </w:tc>
      </w:tr>
      <w:tr>
        <w:tc>
          <w:p>
            <w:pPr>
              <w:pStyle w:val="Compact"/>
              <w:jc w:val="left"/>
            </w:pPr>
            <w:r>
              <w:t xml:space="preserve">AGGU</w:t>
            </w:r>
          </w:p>
        </w:tc>
        <w:tc>
          <w:p>
            <w:pPr>
              <w:pStyle w:val="Compact"/>
              <w:jc w:val="left"/>
            </w:pPr>
            <w:r>
              <w:t xml:space="preserve">Global aggregate, USD-hedged</w:t>
            </w:r>
          </w:p>
        </w:tc>
        <w:tc>
          <w:p>
            <w:pPr>
              <w:pStyle w:val="Compact"/>
              <w:jc w:val="left"/>
            </w:pPr>
            <w:r>
              <w:t xml:space="preserve">20%</w:t>
            </w:r>
          </w:p>
        </w:tc>
        <w:tc>
          <w:p>
            <w:pPr>
              <w:pStyle w:val="Compact"/>
              <w:jc w:val="left"/>
            </w:pPr>
            <w:r>
              <w:t xml:space="preserve">Stabiliser, rebalancing source, dry powder</w:t>
            </w:r>
          </w:p>
        </w:tc>
      </w:tr>
      <w:tr>
        <w:tc>
          <w:p/>
        </w:tc>
        <w:tc>
          <w:p/>
        </w:tc>
        <w:tc>
          <w:p>
            <w:pPr>
              <w:pStyle w:val="Compact"/>
              <w:jc w:val="left"/>
            </w:pPr>
            <w:r>
              <w:rPr>
                <w:b/>
              </w:rPr>
              <w:t xml:space="preserve">100%</w:t>
            </w:r>
          </w:p>
        </w:tc>
        <w:tc>
          <w:p>
            <w:pPr>
              <w:pStyle w:val="Compact"/>
              <w:jc w:val="left"/>
            </w:pPr>
            <w:r>
              <w:t xml:space="preserve">Blended TER</w:t>
            </w:r>
            <w:r>
              <w:t xml:space="preserve"> </w:t>
            </w:r>
            <w:r>
              <w:rPr>
                <w:b/>
              </w:rPr>
              <w:t xml:space="preserve">0.178%</w:t>
            </w:r>
          </w:p>
        </w:tc>
      </w:tr>
    </w:tbl>
    <w:p>
      <w:pPr>
        <w:pStyle w:val="Heading3"/>
      </w:pPr>
      <w:bookmarkStart w:id="34" w:name="model-c-balanced-6040"/>
      <w:r>
        <w:t xml:space="preserve">Model C — Balanced (60/40)</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Ticker</w:t>
            </w:r>
          </w:p>
        </w:tc>
        <w:tc>
          <w:tcPr>
            <w:tcBorders>
              <w:bottom w:val="single"/>
            </w:tcBorders>
            <w:vAlign w:val="bottom"/>
          </w:tcPr>
          <w:p>
            <w:pPr>
              <w:pStyle w:val="Compact"/>
              <w:jc w:val="left"/>
            </w:pPr>
            <w:r>
              <w:t xml:space="preserve">Sleeve</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Role</w:t>
            </w:r>
          </w:p>
        </w:tc>
      </w:tr>
      <w:tr>
        <w:tc>
          <w:p>
            <w:pPr>
              <w:pStyle w:val="Compact"/>
              <w:jc w:val="left"/>
            </w:pPr>
            <w:r>
              <w:t xml:space="preserve">IWDA</w:t>
            </w:r>
          </w:p>
        </w:tc>
        <w:tc>
          <w:p>
            <w:pPr>
              <w:pStyle w:val="Compact"/>
              <w:jc w:val="left"/>
            </w:pPr>
            <w:r>
              <w:t xml:space="preserve">Developed equity</w:t>
            </w:r>
          </w:p>
        </w:tc>
        <w:tc>
          <w:p>
            <w:pPr>
              <w:pStyle w:val="Compact"/>
              <w:jc w:val="left"/>
            </w:pPr>
            <w:r>
              <w:t xml:space="preserve">53%</w:t>
            </w:r>
          </w:p>
        </w:tc>
        <w:tc>
          <w:p>
            <w:pPr>
              <w:pStyle w:val="Compact"/>
              <w:jc w:val="left"/>
            </w:pPr>
            <w:r>
              <w:t xml:space="preserve">Return engine</w:t>
            </w:r>
          </w:p>
        </w:tc>
      </w:tr>
      <w:tr>
        <w:tc>
          <w:p>
            <w:pPr>
              <w:pStyle w:val="Compact"/>
              <w:jc w:val="left"/>
            </w:pPr>
            <w:r>
              <w:t xml:space="preserve">EIMI</w:t>
            </w:r>
          </w:p>
        </w:tc>
        <w:tc>
          <w:p>
            <w:pPr>
              <w:pStyle w:val="Compact"/>
              <w:jc w:val="left"/>
            </w:pPr>
            <w:r>
              <w:t xml:space="preserve">Emerging equity</w:t>
            </w:r>
          </w:p>
        </w:tc>
        <w:tc>
          <w:p>
            <w:pPr>
              <w:pStyle w:val="Compact"/>
              <w:jc w:val="left"/>
            </w:pPr>
            <w:r>
              <w:t xml:space="preserve">7%</w:t>
            </w:r>
          </w:p>
        </w:tc>
        <w:tc>
          <w:p>
            <w:pPr>
              <w:pStyle w:val="Compact"/>
              <w:jc w:val="left"/>
            </w:pPr>
            <w:r>
              <w:t xml:space="preserve">Emerging exposure at 11.7% of equity</w:t>
            </w:r>
          </w:p>
        </w:tc>
      </w:tr>
      <w:tr>
        <w:tc>
          <w:p>
            <w:pPr>
              <w:pStyle w:val="Compact"/>
              <w:jc w:val="left"/>
            </w:pPr>
            <w:r>
              <w:t xml:space="preserve">AGGU</w:t>
            </w:r>
          </w:p>
        </w:tc>
        <w:tc>
          <w:p>
            <w:pPr>
              <w:pStyle w:val="Compact"/>
              <w:jc w:val="left"/>
            </w:pPr>
            <w:r>
              <w:t xml:space="preserve">Global aggregate, USD-hedged</w:t>
            </w:r>
          </w:p>
        </w:tc>
        <w:tc>
          <w:p>
            <w:pPr>
              <w:pStyle w:val="Compact"/>
              <w:jc w:val="left"/>
            </w:pPr>
            <w:r>
              <w:t xml:space="preserve">40%</w:t>
            </w:r>
          </w:p>
        </w:tc>
        <w:tc>
          <w:p>
            <w:pPr>
              <w:pStyle w:val="Compact"/>
              <w:jc w:val="left"/>
            </w:pPr>
            <w:r>
              <w:t xml:space="preserve">Stabiliser</w:t>
            </w:r>
          </w:p>
        </w:tc>
      </w:tr>
      <w:tr>
        <w:tc>
          <w:p/>
        </w:tc>
        <w:tc>
          <w:p/>
        </w:tc>
        <w:tc>
          <w:p>
            <w:pPr>
              <w:pStyle w:val="Compact"/>
              <w:jc w:val="left"/>
            </w:pPr>
            <w:r>
              <w:rPr>
                <w:b/>
              </w:rPr>
              <w:t xml:space="preserve">100%</w:t>
            </w:r>
          </w:p>
        </w:tc>
        <w:tc>
          <w:p>
            <w:pPr>
              <w:pStyle w:val="Compact"/>
              <w:jc w:val="left"/>
            </w:pPr>
            <w:r>
              <w:t xml:space="preserve">Blended TER</w:t>
            </w:r>
            <w:r>
              <w:t xml:space="preserve"> </w:t>
            </w:r>
            <w:r>
              <w:rPr>
                <w:b/>
              </w:rPr>
              <w:t xml:space="preserve">0.159%</w:t>
            </w:r>
          </w:p>
        </w:tc>
      </w:tr>
    </w:tbl>
    <w:p>
      <w:pPr>
        <w:pStyle w:val="BodyText"/>
      </w:pPr>
      <w:r>
        <w:rPr>
          <w:b/>
        </w:rPr>
        <w:t xml:space="preserve">I recommend Model B.</w:t>
      </w:r>
      <w:r>
        <w:t xml:space="preserve"> </w:t>
      </w:r>
      <w:r>
        <w:t xml:space="preserve">Twenty-five years is long enough that Model C’s bond weight costs more in expected return than it buys in comfort, and short enough that Model A’s 10% sleeve is too thin to fund meaningful rebalancing purchases in a crash. Twenty percent in AGGU is roughly five years of a typical drawdown-recovery cycle’s worth of buying power, which is the actual function of the bond sleeve during accumulation — not volatility reduction for its own sake.</w:t>
      </w:r>
    </w:p>
    <w:p>
      <w:pPr>
        <w:pStyle w:val="BodyText"/>
      </w:pPr>
      <w:r>
        <w:rPr>
          <w:b/>
        </w:rPr>
        <w:t xml:space="preserve">Diversification.</w:t>
      </w:r>
      <w:r>
        <w:t xml:space="preserve"> </w:t>
      </w:r>
      <w:r>
        <w:t xml:space="preserve">Model B holds roughly 4,300 equity securities across 23 developed and all major emerging markets, plus about 20,000 bonds. Constituent overlap between IWDA and EIMI is</w:t>
      </w:r>
      <w:r>
        <w:t xml:space="preserve"> </w:t>
      </w:r>
      <w:r>
        <w:rPr>
          <w:b/>
        </w:rPr>
        <w:t xml:space="preserve">zero</w:t>
      </w:r>
      <w:r>
        <w:t xml:space="preserve"> </w:t>
      </w:r>
      <w:r>
        <w:t xml:space="preserve">— MSCI assigns each country to exactly one of the two indices, so no company is double-counted. The gap in coverage is developed-market small caps: MSCI World captures about 85% of listed float per country, so roughly 15% of the developed market by capitalisation is absent. EIMI, being an IMI index,</w:t>
      </w:r>
      <w:r>
        <w:t xml:space="preserve"> </w:t>
      </w:r>
      <w:r>
        <w:rPr>
          <w:i/>
        </w:rPr>
        <w:t xml:space="preserve">does</w:t>
      </w:r>
      <w:r>
        <w:t xml:space="preserve"> </w:t>
      </w:r>
      <w:r>
        <w:t xml:space="preserve">include emerging small caps, which is a mild inconsistency in the pair. If that bothers you, SPYI (MSCI ACWI IMI, 4,978 holdings, 0.17%) fixes it in one ticker. Concentration is the more pressing issue than coverage: at 70% IWDA, the top 10 stocks are about</w:t>
      </w:r>
      <w:r>
        <w:t xml:space="preserve"> </w:t>
      </w:r>
      <w:r>
        <w:rPr>
          <w:b/>
        </w:rPr>
        <w:t xml:space="preserve">18% of your total portfolio</w:t>
      </w:r>
      <w:r>
        <w:t xml:space="preserve">, and NVIDIA alone is about</w:t>
      </w:r>
      <w:r>
        <w:t xml:space="preserve"> </w:t>
      </w:r>
      <w:r>
        <w:rPr>
          <w:b/>
        </w:rPr>
        <w:t xml:space="preserve">3.6%</w:t>
      </w:r>
      <w:r>
        <w:t xml:space="preserve">.</w:t>
      </w:r>
    </w:p>
    <w:p>
      <w:pPr>
        <w:pStyle w:val="BodyText"/>
      </w:pPr>
      <w:r>
        <w:rPr>
          <w:b/>
        </w:rPr>
        <w:t xml:space="preserve">Drawdown behaviour.</w:t>
      </w:r>
      <w:r>
        <w:t xml:space="preserve"> </w:t>
      </w:r>
      <w:r>
        <w:t xml:space="preserve">Three scenarios, modelled from the verified sleeve statistics rather than recalled history:</w:t>
      </w:r>
    </w:p>
    <w:p>
      <w:pPr>
        <w:numPr>
          <w:ilvl w:val="0"/>
          <w:numId w:val="1003"/>
        </w:numPr>
        <w:pStyle w:val="Compact"/>
      </w:pPr>
      <w:r>
        <w:rPr>
          <w:i/>
        </w:rPr>
        <w:t xml:space="preserve">2008-style growth and credit shock.</w:t>
      </w:r>
      <w:r>
        <w:t xml:space="preserve"> </w:t>
      </w:r>
      <w:r>
        <w:t xml:space="preserve">Global equities down roughly 50%, global aggregate up mid-single digits on flight-to-quality: Model B loses about</w:t>
      </w:r>
      <w:r>
        <w:t xml:space="preserve"> </w:t>
      </w:r>
      <w:r>
        <w:rPr>
          <w:b/>
        </w:rPr>
        <w:t xml:space="preserve">-38%</w:t>
      </w:r>
      <w:r>
        <w:t xml:space="preserve"> </w:t>
      </w:r>
      <w:r>
        <w:t xml:space="preserve">peak to trough. The bond sleeve offsets perhaps two percentage points of that and, more usefully, gives you something to sell into equities near the bottom.</w:t>
      </w:r>
    </w:p>
    <w:p>
      <w:pPr>
        <w:numPr>
          <w:ilvl w:val="0"/>
          <w:numId w:val="1003"/>
        </w:numPr>
        <w:pStyle w:val="Compact"/>
      </w:pPr>
      <w:r>
        <w:rPr>
          <w:i/>
        </w:rPr>
        <w:t xml:space="preserve">2020-style fast crash.</w:t>
      </w:r>
      <w:r>
        <w:t xml:space="preserve"> </w:t>
      </w:r>
      <w:r>
        <w:t xml:space="preserve">Equities down about 35% over weeks, bonds slightly positive: roughly</w:t>
      </w:r>
      <w:r>
        <w:t xml:space="preserve"> </w:t>
      </w:r>
      <w:r>
        <w:rPr>
          <w:b/>
        </w:rPr>
        <w:t xml:space="preserve">-27%</w:t>
      </w:r>
      <w:r>
        <w:t xml:space="preserve">, recovering fast enough that the main risk is behavioural rather than financial.</w:t>
      </w:r>
    </w:p>
    <w:p>
      <w:pPr>
        <w:numPr>
          <w:ilvl w:val="0"/>
          <w:numId w:val="1003"/>
        </w:numPr>
        <w:pStyle w:val="Compact"/>
      </w:pPr>
      <w:r>
        <w:rPr>
          <w:i/>
        </w:rPr>
        <w:t xml:space="preserve">2022-style inflationary shock.</w:t>
      </w:r>
      <w:r>
        <w:t xml:space="preserve"> </w:t>
      </w:r>
      <w:r>
        <w:t xml:space="preserve">Equities down about 20% and a duration-6 bond sleeve down about 10% simultaneously: roughly</w:t>
      </w:r>
      <w:r>
        <w:t xml:space="preserve"> </w:t>
      </w:r>
      <w:r>
        <w:rPr>
          <w:b/>
        </w:rPr>
        <w:t xml:space="preserve">-18%</w:t>
      </w:r>
      <w:r>
        <w:t xml:space="preserve">, with the stabiliser contributing nothing. This is the scenario people are unprepared for, and no allocation within these three funds solves it. If it becomes a live concern, the fix is a short-duration or inflation-linked sleeve — a fourth ticker, with the operational cost that implies. I am not proposing it now.</w:t>
      </w:r>
    </w:p>
    <w:p>
      <w:pPr>
        <w:pStyle w:val="FirstParagraph"/>
      </w:pPr>
      <w:r>
        <w:rPr>
          <w:b/>
        </w:rPr>
        <w:t xml:space="preserve">Long-term suitability.</w:t>
      </w:r>
      <w:r>
        <w:t xml:space="preserve"> </w:t>
      </w:r>
      <w:r>
        <w:t xml:space="preserve">The structure survives 25 years because none of the three funds requires a view to keep working. Rebalance</w:t>
      </w:r>
      <w:r>
        <w:t xml:space="preserve"> </w:t>
      </w:r>
      <w:r>
        <w:rPr>
          <w:b/>
        </w:rPr>
        <w:t xml:space="preserve">with new contributions</w:t>
      </w:r>
      <w:r>
        <w:t xml:space="preserve">, not sales: direct each monthly purchase to whichever sleeve is furthest below target. Use bands rather than a calendar — ±5 pp on the bond sleeve, ±3 pp on EM — and only sell if contributions cannot close the gap within a few months. What would justify a change: an issuer fee rise, sustained tracking deterioration, a fund falling below roughly $1bn, or your horizon shortening below about ten years (at which point the bond weight should start rising and the distributing share classes become interesting again). What would</w:t>
      </w:r>
      <w:r>
        <w:t xml:space="preserve"> </w:t>
      </w:r>
      <w:r>
        <w:rPr>
          <w:i/>
        </w:rPr>
        <w:t xml:space="preserve">not</w:t>
      </w:r>
      <w:r>
        <w:t xml:space="preserve"> </w:t>
      </w:r>
      <w:r>
        <w:t xml:space="preserve">justify a change: one to three years of EM underperformance, a change in your macro view, or a cheaper competitor launching with two years of history.</w:t>
      </w:r>
    </w:p>
    <w:p>
      <w:pPr>
        <w:pStyle w:val="BodyText"/>
      </w:pPr>
      <w:r>
        <w:rPr>
          <w:b/>
        </w:rPr>
        <w:t xml:space="preserve">Complexity cost.</w:t>
      </w:r>
      <w:r>
        <w:t xml:space="preserve"> </w:t>
      </w:r>
      <w:r>
        <w:t xml:space="preserve">Three tickers, one trading currency (USD), one exchange (LSE), zero distribution events because all three accumulate. That is three positions to track and three BRL cost-basis records. Compare honestly:</w:t>
      </w:r>
    </w:p>
    <w:p>
      <w:pPr>
        <w:numPr>
          <w:ilvl w:val="0"/>
          <w:numId w:val="1004"/>
        </w:numPr>
        <w:pStyle w:val="Compact"/>
      </w:pPr>
      <w:r>
        <w:rPr>
          <w:b/>
        </w:rPr>
        <w:t xml:space="preserve">Two-ticker alternative:</w:t>
      </w:r>
      <w:r>
        <w:t xml:space="preserve"> </w:t>
      </w:r>
      <w:r>
        <w:t xml:space="preserve">VWRA 80 / AGGU 20 = blended TER 0.172%, or SPYI 80 / AGGU 20 =</w:t>
      </w:r>
      <w:r>
        <w:t xml:space="preserve"> </w:t>
      </w:r>
      <w:r>
        <w:rPr>
          <w:b/>
        </w:rPr>
        <w:t xml:space="preserve">0.156%</w:t>
      </w:r>
      <w:r>
        <w:t xml:space="preserve">. Both are</w:t>
      </w:r>
      <w:r>
        <w:t xml:space="preserve"> </w:t>
      </w:r>
      <w:r>
        <w:rPr>
          <w:i/>
        </w:rPr>
        <w:t xml:space="preserve">cheaper</w:t>
      </w:r>
      <w:r>
        <w:t xml:space="preserve"> </w:t>
      </w:r>
      <w:r>
        <w:t xml:space="preserve">than Model B. SPYI additionally adds developed small caps. What you give up is the ability to set the EM weight, and you accept SPYI’s smaller $8.2bn base and a measured 10-year tracking difference of about -0.11 pp/yr against its index (its 5-year figure is +0.18 pp/yr, so this is noise-adjacent, but it is not IWDA’s record).</w:t>
      </w:r>
      <w:r>
        <w:t xml:space="preserve"> </w:t>
      </w:r>
      <w:r>
        <w:rPr>
          <w:b/>
        </w:rPr>
        <w:t xml:space="preserve">The three-ticker version does not save money — it buys control. If you will not actually use the control, take two tickers.</w:t>
      </w:r>
    </w:p>
    <w:p>
      <w:pPr>
        <w:numPr>
          <w:ilvl w:val="0"/>
          <w:numId w:val="1004"/>
        </w:numPr>
        <w:pStyle w:val="Compact"/>
      </w:pPr>
      <w:r>
        <w:rPr>
          <w:b/>
        </w:rPr>
        <w:t xml:space="preserve">US-listed mirror:</w:t>
      </w:r>
      <w:r>
        <w:t xml:space="preserve"> </w:t>
      </w:r>
      <w:r>
        <w:t xml:space="preserve">VT 80 / BNDW 20 = blended TER</w:t>
      </w:r>
      <w:r>
        <w:t xml:space="preserve"> </w:t>
      </w:r>
      <w:r>
        <w:rPr>
          <w:b/>
        </w:rPr>
        <w:t xml:space="preserve">0.058%</w:t>
      </w:r>
      <w:r>
        <w:t xml:space="preserve">, about 12 bp/yr cheaper than Model B, which compounds to roughly 3% of terminal wealth over 25 years. Against that: VT distributes quarterly and BNDW monthly — that is on the order of 16 distribution events a year to convert and record in BRL — and, as a non-US person in a country with no income tax treaty with the United States, investor-level withholding applies to the full distribution. On a ~1.5% equity dividend yield, that drag is a multiple of the 12 bp fee saving. Add US-situs estate-tax exposure on US-domiciled holdings.</w:t>
      </w:r>
      <w:r>
        <w:t xml:space="preserve"> </w:t>
      </w:r>
      <w:r>
        <w:rPr>
          <w:b/>
        </w:rPr>
        <w:t xml:space="preserve">Run the arithmetic with your accountant using the withholding rate that actually applies to you; my expectation is that the Irish structure wins on after-tax return, but the input is his, not mine.</w:t>
      </w:r>
    </w:p>
    <w:p>
      <w:r>
        <w:pict>
          <v:rect style="width:0;height:1.5pt" o:hralign="center" o:hrstd="t" o:hr="t"/>
        </w:pict>
      </w:r>
    </w:p>
    <w:p>
      <w:pPr>
        <w:pStyle w:val="Heading2"/>
      </w:pPr>
      <w:bookmarkStart w:id="35" w:name="X3e66f6e3b427cbd098b7c26805f73cbd29ba8a4"/>
      <w:r>
        <w:t xml:space="preserve">6. Brazil tax and operational considerations</w:t>
      </w:r>
      <w:bookmarkEnd w:id="35"/>
    </w:p>
    <w:p>
      <w:pPr>
        <w:pStyle w:val="FirstParagraph"/>
      </w:pPr>
      <w:r>
        <w:t xml:space="preserve">Structural observations only. Nothing here is a rate, a threshold or a filing instruction.</w:t>
      </w:r>
    </w:p>
    <w:p>
      <w:pPr>
        <w:pStyle w:val="BodyText"/>
      </w:pPr>
      <w:r>
        <w:rPr>
          <w:b/>
        </w:rPr>
        <w:t xml:space="preserve">Domicile is the largest single decision in this proposal.</w:t>
      </w:r>
      <w:r>
        <w:t xml:space="preserve"> </w:t>
      </w:r>
      <w:r>
        <w:t xml:space="preserve">All three recommended funds are Irish UCITS. Two distinct mechanisms are in play and they are frequently conflated: (i) withholding suffered</w:t>
      </w:r>
      <w:r>
        <w:t xml:space="preserve"> </w:t>
      </w:r>
      <w:r>
        <w:rPr>
          <w:i/>
        </w:rPr>
        <w:t xml:space="preserve">inside</w:t>
      </w:r>
      <w:r>
        <w:t xml:space="preserve"> </w:t>
      </w:r>
      <w:r>
        <w:t xml:space="preserve">the fund on the dividends its underlying holdings pay, which for an Irish fund holding US equities is reduced by the Ireland–US treaty, and (ii) withholding on the distribution</w:t>
      </w:r>
      <w:r>
        <w:t xml:space="preserve"> </w:t>
      </w:r>
      <w:r>
        <w:rPr>
          <w:i/>
        </w:rPr>
        <w:t xml:space="preserve">from</w:t>
      </w:r>
      <w:r>
        <w:t xml:space="preserve"> </w:t>
      </w:r>
      <w:r>
        <w:t xml:space="preserve">the fund to you, which does not arise on an accumulating Irish fund but does arise on a US-domiciled ETF paying a Brazilian resident, and Brazil has no income tax treaty with the United States. A third, separate issue is US estate tax on US-situs assets held by a non-resident alien, which is not a function of income at all and becomes more consequential as the portfolio grows.</w:t>
      </w:r>
    </w:p>
    <w:p>
      <w:pPr>
        <w:pStyle w:val="BodyText"/>
      </w:pPr>
      <w:r>
        <w:rPr>
          <w:b/>
        </w:rPr>
        <w:t xml:space="preserve">All three funds accumulate, which changes the shape of your reporting rather than eliminating it.</w:t>
      </w:r>
      <w:r>
        <w:t xml:space="preserve"> </w:t>
      </w:r>
      <w:r>
        <w:t xml:space="preserve">There are no dividend events to convert to BRL, but the accrual of income inside the fund and the treatment of accumulated gains on eventual disposal are exactly the points to confirm — the direction of the effect depends on rules you should verify rather than rules I should assert.</w:t>
      </w:r>
    </w:p>
    <w:p>
      <w:pPr>
        <w:pStyle w:val="BodyText"/>
      </w:pPr>
      <w:r>
        <w:rPr>
          <w:b/>
        </w:rPr>
        <w:t xml:space="preserve">FX and BRL conversion points.</w:t>
      </w:r>
      <w:r>
        <w:t xml:space="preserve"> </w:t>
      </w:r>
      <w:r>
        <w:t xml:space="preserve">Under Model B you have three purchase events per contribution cycle at most, all in USD on one exchange, and zero distribution events. That is close to the minimum achievable record-keeping load for a diversified global portfolio. Convert BRL to USD deliberately in blocks through IBKR’s FX rather than letting trades convert implicitly — it is cheaper and it produces one clean conversion record per block instead of one per trade.</w:t>
      </w:r>
    </w:p>
    <w:p>
      <w:pPr>
        <w:pStyle w:val="BodyText"/>
      </w:pPr>
      <w:r>
        <w:rPr>
          <w:b/>
        </w:rPr>
        <w:t xml:space="preserve">Realised versus unrealised.</w:t>
      </w:r>
      <w:r>
        <w:t xml:space="preserve"> </w:t>
      </w:r>
      <w:r>
        <w:t xml:space="preserve">Contribution-based rebalancing keeps the portfolio buy-and-hold and defers realisation across the whole accumulation phase. This is available to you because you are still contributing, and it is the single largest operational reason to prefer bands-plus-contributions over calendar rebalancing with sales.</w:t>
      </w:r>
    </w:p>
    <w:p>
      <w:pPr>
        <w:pStyle w:val="BodyText"/>
      </w:pPr>
      <w:r>
        <w:rPr>
          <w:b/>
        </w:rPr>
        <w:t xml:space="preserve">Character of return.</w:t>
      </w:r>
      <w:r>
        <w:t xml:space="preserve"> </w:t>
      </w:r>
      <w:r>
        <w:t xml:space="preserve">Model B shifts a fifth of the portfolio into a sleeve whose return is predominantly interest income accruing at roughly 4.00% YTM rather than capital appreciation. Whether that accrual is treated differently from equity appreciation in your reporting is worth an explicit question.</w:t>
      </w:r>
    </w:p>
    <w:p>
      <w:pPr>
        <w:pStyle w:val="BodyText"/>
      </w:pPr>
      <w:r>
        <w:t xml:space="preserve">These are structural observations, not tax advice. Confirm the specifics with your accountant or a current Brazilian tax reference before acting.</w:t>
      </w:r>
    </w:p>
    <w:p>
      <w:r>
        <w:pict>
          <v:rect style="width:0;height:1.5pt" o:hralign="center" o:hrstd="t" o:hr="t"/>
        </w:pict>
      </w:r>
    </w:p>
    <w:p>
      <w:pPr>
        <w:pStyle w:val="Heading2"/>
      </w:pPr>
      <w:bookmarkStart w:id="36" w:name="action-checklist"/>
      <w:r>
        <w:t xml:space="preserve">7. Action checklist</w:t>
      </w:r>
      <w:bookmarkEnd w:id="36"/>
    </w:p>
    <w:p>
      <w:pPr>
        <w:pStyle w:val="FirstParagraph"/>
      </w:pPr>
      <w:r>
        <w:rPr>
          <w:b/>
        </w:rPr>
        <w:t xml:space="preserve">Positions to open (Model B):</w:t>
      </w:r>
    </w:p>
    <w:p>
      <w:pPr>
        <w:numPr>
          <w:ilvl w:val="0"/>
          <w:numId w:val="1005"/>
        </w:numPr>
        <w:pStyle w:val="Compact"/>
      </w:pPr>
      <w:r>
        <w:rPr>
          <w:b/>
        </w:rPr>
        <w:t xml:space="preserve">IWDA</w:t>
      </w:r>
      <w:r>
        <w:t xml:space="preserve"> </w:t>
      </w:r>
      <w:r>
        <w:t xml:space="preserve">— LSE, USD line, SEDOL B4L5Y98, ISIN IE00B4L5Y983 — target 70%. Limit order, mid-session London, avoid the first and last ten minutes.</w:t>
      </w:r>
    </w:p>
    <w:p>
      <w:pPr>
        <w:numPr>
          <w:ilvl w:val="0"/>
          <w:numId w:val="1005"/>
        </w:numPr>
        <w:pStyle w:val="Compact"/>
      </w:pPr>
      <w:r>
        <w:rPr>
          <w:b/>
        </w:rPr>
        <w:t xml:space="preserve">EIMI</w:t>
      </w:r>
      <w:r>
        <w:t xml:space="preserve"> </w:t>
      </w:r>
      <w:r>
        <w:t xml:space="preserve">— LSE, USD line, SEDOL BKM4GZ6, ISIN IE00BKM4GZ66 — target 10%. Limit order; spreads are wider than IWDA’s, so set the limit against the iNAV rather than the last print.</w:t>
      </w:r>
    </w:p>
    <w:p>
      <w:pPr>
        <w:numPr>
          <w:ilvl w:val="0"/>
          <w:numId w:val="1005"/>
        </w:numPr>
        <w:pStyle w:val="Compact"/>
      </w:pPr>
      <w:r>
        <w:rPr>
          <w:b/>
        </w:rPr>
        <w:t xml:space="preserve">AGGU</w:t>
      </w:r>
      <w:r>
        <w:t xml:space="preserve"> </w:t>
      </w:r>
      <w:r>
        <w:t xml:space="preserve">— LSE, USD line, ISIN IE00BZ043R46 — target 20%. Confirm the ISIN before ordering; this fund has nine share classes including unhedged and distributing variants.</w:t>
      </w:r>
    </w:p>
    <w:p>
      <w:pPr>
        <w:numPr>
          <w:ilvl w:val="0"/>
          <w:numId w:val="1005"/>
        </w:numPr>
        <w:pStyle w:val="Compact"/>
      </w:pPr>
      <w:r>
        <w:t xml:space="preserve">Convert BRL to USD in one block before the first tranche rather than per-trade.</w:t>
      </w:r>
    </w:p>
    <w:p>
      <w:pPr>
        <w:numPr>
          <w:ilvl w:val="0"/>
          <w:numId w:val="1005"/>
        </w:numPr>
        <w:pStyle w:val="Compact"/>
      </w:pPr>
      <w:r>
        <w:t xml:space="preserve">Set rebalancing bands: ±5 pp on AGGU, ±3 pp on EIMI. Direct new contributions to the most underweight sleeve; do not sell to rebalance while contributions can close the gap.</w:t>
      </w:r>
    </w:p>
    <w:p>
      <w:pPr>
        <w:pStyle w:val="FirstParagraph"/>
      </w:pPr>
      <w:r>
        <w:rPr>
          <w:b/>
        </w:rPr>
        <w:t xml:space="preserve">Questions for your accountant:</w:t>
      </w:r>
    </w:p>
    <w:p>
      <w:pPr>
        <w:numPr>
          <w:ilvl w:val="0"/>
          <w:numId w:val="1006"/>
        </w:numPr>
        <w:pStyle w:val="Compact"/>
      </w:pPr>
      <w:r>
        <w:t xml:space="preserve">How do distributions from a US-domiciled ETF and accumulation inside an Irish UCITS differ in my reporting obligations and my net position?</w:t>
      </w:r>
    </w:p>
    <w:p>
      <w:pPr>
        <w:numPr>
          <w:ilvl w:val="0"/>
          <w:numId w:val="1006"/>
        </w:numPr>
        <w:pStyle w:val="Compact"/>
      </w:pPr>
      <w:r>
        <w:t xml:space="preserve">What withholding rate actually applies to me on distributions from a US-domiciled fund, given Brazil has no income tax treaty with the US — and does that exceed the roughly 12 bp/yr fee advantage of the US-listed funds?</w:t>
      </w:r>
    </w:p>
    <w:p>
      <w:pPr>
        <w:numPr>
          <w:ilvl w:val="0"/>
          <w:numId w:val="1006"/>
        </w:numPr>
        <w:pStyle w:val="Compact"/>
      </w:pPr>
      <w:r>
        <w:t xml:space="preserve">Does holding accumulating share classes change my recurring obligations during the accumulation phase, and how is accumulated income treated on eventual disposal?</w:t>
      </w:r>
    </w:p>
    <w:p>
      <w:pPr>
        <w:numPr>
          <w:ilvl w:val="0"/>
          <w:numId w:val="1006"/>
        </w:numPr>
        <w:pStyle w:val="Compact"/>
      </w:pPr>
      <w:r>
        <w:t xml:space="preserve">What is my exposure to US estate tax on US-situs holdings at my current and projected portfolio size, and does Irish domicile meaningfully reduce it?</w:t>
      </w:r>
    </w:p>
    <w:p>
      <w:pPr>
        <w:numPr>
          <w:ilvl w:val="0"/>
          <w:numId w:val="1006"/>
        </w:numPr>
        <w:pStyle w:val="Compact"/>
      </w:pPr>
      <w:r>
        <w:t xml:space="preserve">Which FX rate convention should I apply to block conversions versus trade-date settlement, and how should I record them?</w:t>
      </w:r>
    </w:p>
    <w:p>
      <w:pPr>
        <w:numPr>
          <w:ilvl w:val="0"/>
          <w:numId w:val="1006"/>
        </w:numPr>
        <w:pStyle w:val="Compact"/>
      </w:pPr>
      <w:r>
        <w:t xml:space="preserve">If I rebalance with new contributions rather than sales, what changes about my realised position?</w:t>
      </w:r>
    </w:p>
    <w:p>
      <w:pPr>
        <w:pStyle w:val="FirstParagraph"/>
      </w:pPr>
      <w:r>
        <w:rPr>
          <w:b/>
        </w:rPr>
        <w:t xml:space="preserve">Documents to review before the first order:</w:t>
      </w:r>
      <w:r>
        <w:t xml:space="preserve"> </w:t>
      </w:r>
      <w:r>
        <w:t xml:space="preserve">the KIID/PRIIPs KID for each of the three ISINs, and the AGGU share-class list to confirm you are buying the USD-hedged accumulating line.</w:t>
      </w:r>
    </w:p>
    <w:p>
      <w:pPr>
        <w:pStyle w:val="BodyText"/>
      </w:pPr>
      <w:r>
        <w:rPr>
          <w:b/>
        </w:rPr>
        <w:t xml:space="preserve">Review date: August 2027.</w:t>
      </w:r>
      <w:r>
        <w:t xml:space="preserve"> </w:t>
      </w:r>
      <w:r>
        <w:t xml:space="preserve">Annual thereafter. Trigger an earlier review if any of the following occurs: an issuer raises a TER; a fund’s assets fall below roughly $1bn; measured tracking difference deteriorates beyond about 15 bp/yr against its index; the Amundi Prime all-country fund accumulates three years of clean tracking data at 0.07% (that would be a genuine cost case, not a marketing one); or your retirement horizon or country of residence changes.</w:t>
      </w:r>
    </w:p>
    <w:p>
      <w:r>
        <w:pict>
          <v:rect style="width:0;height:1.5pt" o:hralign="center" o:hrstd="t" o:hr="t"/>
        </w:pict>
      </w:r>
    </w:p>
    <w:p>
      <w:pPr>
        <w:pStyle w:val="Heading2"/>
      </w:pPr>
      <w:bookmarkStart w:id="37" w:name="sources"/>
      <w:r>
        <w:t xml:space="preserve">Sources</w:t>
      </w:r>
      <w:bookmarkEnd w:id="37"/>
    </w:p>
    <w:p>
      <w:pPr>
        <w:numPr>
          <w:ilvl w:val="0"/>
          <w:numId w:val="1007"/>
        </w:numPr>
        <w:pStyle w:val="Compact"/>
      </w:pPr>
      <w:r>
        <w:t xml:space="preserve">Vanguard Total World Stock ETF (VT) fact sheet, 30 June 2026 — https://workplace.vanguard.com/assets/corp/fund_communications/pdf_publish/us-products/investment-profiles/3141.pdf</w:t>
      </w:r>
    </w:p>
    <w:p>
      <w:pPr>
        <w:numPr>
          <w:ilvl w:val="0"/>
          <w:numId w:val="1007"/>
        </w:numPr>
        <w:pStyle w:val="Compact"/>
      </w:pPr>
      <w:r>
        <w:t xml:space="preserve">Vanguard FTSE All-World UCITS ETF (USD) Accumulating (VWRA) factsheet, 30 June 2026 — https://fund-docs.vanguard.com/FTSE_All-World_UCITS_ETF_USD_Accumulating_9679_INT_OFF_ETF_EN.pdf</w:t>
      </w:r>
    </w:p>
    <w:p>
      <w:pPr>
        <w:numPr>
          <w:ilvl w:val="0"/>
          <w:numId w:val="1007"/>
        </w:numPr>
        <w:pStyle w:val="Compact"/>
      </w:pPr>
      <w:r>
        <w:t xml:space="preserve">iShares Core MSCI World UCITS ETF (IWDA/SWDA) product page — https://www.ishares.com/uk/individual/en/products/251882/ishares-msci-world-ucits-etf-acc-fund</w:t>
      </w:r>
    </w:p>
    <w:p>
      <w:pPr>
        <w:numPr>
          <w:ilvl w:val="0"/>
          <w:numId w:val="1007"/>
        </w:numPr>
        <w:pStyle w:val="Compact"/>
      </w:pPr>
      <w:r>
        <w:t xml:space="preserve">iShares Core MSCI World UCITS ETF fact sheet, June 2026 — https://www.ishares.com/uk/individual/en/literature/fact-sheet/swda-ishares-core-msci-world-ucits-etf-fund-fact-sheet-en-gb.pdf</w:t>
      </w:r>
    </w:p>
    <w:p>
      <w:pPr>
        <w:numPr>
          <w:ilvl w:val="0"/>
          <w:numId w:val="1007"/>
        </w:numPr>
        <w:pStyle w:val="Compact"/>
      </w:pPr>
      <w:r>
        <w:t xml:space="preserve">iShares Core MSCI EM IMI UCITS ETF (EIMI) product page — https://www.ishares.com/uk/individual/en/products/264659/ishares-msci-emerging-markets-imi-ucits-etf</w:t>
      </w:r>
    </w:p>
    <w:p>
      <w:pPr>
        <w:numPr>
          <w:ilvl w:val="0"/>
          <w:numId w:val="1007"/>
        </w:numPr>
        <w:pStyle w:val="Compact"/>
      </w:pPr>
      <w:r>
        <w:t xml:space="preserve">iShares Core Global Aggregate Bond UCITS ETF USD Hedged (AGGU) product page — https://www.ishares.com/uk/individual/en/products/291772/ishares-core-global-aggregate-bond-ucits-etf</w:t>
      </w:r>
    </w:p>
    <w:p>
      <w:pPr>
        <w:numPr>
          <w:ilvl w:val="0"/>
          <w:numId w:val="1007"/>
        </w:numPr>
        <w:pStyle w:val="Compact"/>
      </w:pPr>
      <w:r>
        <w:t xml:space="preserve">SPDR MSCI ACWI IMI UCITS ETF (SPYI/IMID) product page — https://www.ssga.com/uk/en_gb/intermediary/etfs/state-street-spdr-msci-all-country-world-investable-market-ucits-etf-acc-spyi-gy</w:t>
      </w:r>
    </w:p>
    <w:p>
      <w:pPr>
        <w:numPr>
          <w:ilvl w:val="0"/>
          <w:numId w:val="1007"/>
        </w:numPr>
        <w:pStyle w:val="Compact"/>
      </w:pPr>
      <w:r>
        <w:t xml:space="preserve">Vanguard Total Stock Market ETF (VTI) product page — https://advisors.vanguard.com/investments/products/vti/vanguard-morningstar-total-stock-market-etf</w:t>
      </w:r>
    </w:p>
    <w:p>
      <w:pPr>
        <w:numPr>
          <w:ilvl w:val="0"/>
          <w:numId w:val="1007"/>
        </w:numPr>
        <w:pStyle w:val="Compact"/>
      </w:pPr>
      <w:r>
        <w:t xml:space="preserve">Vanguard Total International Stock ETF (VXUS) product page — https://advisors.vanguard.com/investments/products/VXUS</w:t>
      </w:r>
    </w:p>
    <w:p>
      <w:pPr>
        <w:numPr>
          <w:ilvl w:val="0"/>
          <w:numId w:val="1007"/>
        </w:numPr>
        <w:pStyle w:val="Compact"/>
      </w:pPr>
      <w:r>
        <w:t xml:space="preserve">Vanguard FTSE Emerging Markets ETF (VWO) product page — https://advisors.vanguard.com/investments/products/vwo/vanguard-ftse-emerging-markets-etf</w:t>
      </w:r>
    </w:p>
    <w:p>
      <w:pPr>
        <w:numPr>
          <w:ilvl w:val="0"/>
          <w:numId w:val="1007"/>
        </w:numPr>
        <w:pStyle w:val="Compact"/>
      </w:pPr>
      <w:r>
        <w:t xml:space="preserve">Vanguard Total World Bond ETF (BNDW) product page — https://advisors.vanguard.com/investments/products/bndw/vanguard-total-world-bond-etf</w:t>
      </w:r>
    </w:p>
    <w:p>
      <w:pPr>
        <w:numPr>
          <w:ilvl w:val="0"/>
          <w:numId w:val="1007"/>
        </w:numPr>
        <w:pStyle w:val="Compact"/>
      </w:pPr>
      <w:r>
        <w:t xml:space="preserve">Vanguard FTSE All-World UCITS ETF (USD) Distributing (VWRD/VWRL) — https://www.justetf.com/en/etf-profile.html?isin=IE00B3RBWM25</w:t>
      </w:r>
    </w:p>
    <w:p>
      <w:pPr>
        <w:numPr>
          <w:ilvl w:val="0"/>
          <w:numId w:val="1007"/>
        </w:numPr>
        <w:pStyle w:val="Compact"/>
      </w:pPr>
      <w:r>
        <w:t xml:space="preserve">Vanguard Global Aggregate Bond UCITS ETF USD Hedged Acc (VAGU) — https://www.justetf.com/uk/etf-profile.html?isin=IE00BG47KJ78</w:t>
      </w:r>
    </w:p>
    <w:p>
      <w:pPr>
        <w:numPr>
          <w:ilvl w:val="0"/>
          <w:numId w:val="1007"/>
        </w:numPr>
        <w:pStyle w:val="Compact"/>
      </w:pPr>
      <w:r>
        <w:t xml:space="preserve">iShares MSCI ACWI UCITS ETF (SSAC/ISAC) — https://www.justetf.com/en/etf-profile.html?isin=IE00B6R52259</w:t>
      </w:r>
    </w:p>
    <w:p>
      <w:pPr>
        <w:numPr>
          <w:ilvl w:val="0"/>
          <w:numId w:val="1007"/>
        </w:numPr>
        <w:pStyle w:val="Compact"/>
      </w:pPr>
      <w:r>
        <w:t xml:space="preserve">Invesco FTSE All-World UCITS ETF (FWRG) — https://www.justetf.com/en/etf-profile.html?isin=IE000716YHJ7</w:t>
      </w:r>
    </w:p>
    <w:p>
      <w:pPr>
        <w:numPr>
          <w:ilvl w:val="0"/>
          <w:numId w:val="1007"/>
        </w:numPr>
        <w:pStyle w:val="Compact"/>
      </w:pPr>
      <w:r>
        <w:t xml:space="preserve">Amundi Prime All Country World UCITS ETF Acc (WEBN/WEBG) — https://www.justetf.com/en/etf-profile.html?isin=IE0003XJA0J9</w:t>
      </w:r>
    </w:p>
    <w:p>
      <w:pPr>
        <w:pStyle w:val="FirstParagraph"/>
      </w:pPr>
      <w:r>
        <w:rPr>
          <w:b/>
        </w:rPr>
        <w:t xml:space="preserve">Unverified fields:</w:t>
      </w:r>
      <w:r>
        <w:t xml:space="preserve"> </w:t>
      </w:r>
      <w:r>
        <w:t xml:space="preserve">VAGU and BNDW effective duration; Amundi Prime index name and issuer-level AUM (issuer site is JavaScript-rendered and returned no data); MSCI World geographic breakdown (published as a chart image); EIMI published tracking difference; VTI’s current benchmark following the Morningstar rename. AUM figures for SSAC, FWRG, WEBN, VAGU and the VWRD share class come from justETF rather than issuer pages and carry the usual aggregator lag — the Vanguard TER discrepancy noted in section 1 is a live example of why that matters.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Equity Screen and 3-ETF Core Portfolio — 25-Year Horizon</dc:title>
  <dc:creator>Retirement ETF Analyst</dc:creator>
  <cp:keywords/>
  <dcterms:created xsi:type="dcterms:W3CDTF">2026-08-06T01:44:43Z</dcterms:created>
  <dcterms:modified xsi:type="dcterms:W3CDTF">2026-08-06T01:44:43Z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5 August 2026</vt:lpwstr>
  </property>
</Properties>
</file>