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400"/>
      </w:pPr>
      <w:r>
        <w:rPr>
          <w:b/>
          <w:bCs/>
          <w:color w:val="5A5A5A"/>
          <w:spacing w:val="20"/>
          <w:sz w:val="18"/>
          <w:szCs w:val="18"/>
        </w:rPr>
        <w:t xml:space="preserve">FINANCAS-2026</w:t>
      </w:r>
    </w:p>
    <w:p>
      <w:pPr>
        <w:spacing w:after="120"/>
      </w:pPr>
      <w:r>
        <w:rPr>
          <w:b/>
          <w:bCs/>
          <w:color w:val="1A2B4C"/>
          <w:sz w:val="40"/>
          <w:szCs w:val="40"/>
        </w:rPr>
        <w:t xml:space="preserve">Personal Finance — Executive Report</w:t>
      </w:r>
    </w:p>
    <w:p>
      <w:pPr>
        <w:spacing w:after="40"/>
      </w:pPr>
      <w:r>
        <w:rPr>
          <w:color w:val="333333"/>
          <w:sz w:val="22"/>
          <w:szCs w:val="22"/>
        </w:rPr>
        <w:t xml:space="preserve">H1 2026 (January – June) · Eduardo Forster Giovannini</w:t>
      </w:r>
    </w:p>
    <w:p>
      <w:pPr>
        <w:spacing w:after="300"/>
      </w:pPr>
      <w:r>
        <w:rPr>
          <w:i/>
          <w:iCs/>
          <w:color w:val="5A5A5A"/>
          <w:sz w:val="17"/>
          <w:szCs w:val="17"/>
        </w:rPr>
        <w:t xml:space="preserve">Prepared 31 August 2026 · Source: financas-2026 workspace (financeai-tracker.xlsx, subscription-budget-2026.xlsx, wealthcommand.xlsx)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10"/>
        <w:gridCol w:w="2610"/>
        <w:gridCol w:w="2610"/>
        <w:gridCol w:w="2610"/>
      </w:tblGrid>
      <w:tr>
        <w:tc>
          <w:tcPr>
            <w:tcW w:type="dxa" w:w="2610"/>
            <w:shd w:fill="F5F6F9" w:color="auto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5A5A5A"/>
                <w:sz w:val="15"/>
                <w:szCs w:val="15"/>
              </w:rPr>
              <w:t xml:space="preserve">EST. NET WORTH</w:t>
            </w:r>
          </w:p>
          <w:p>
            <w:pPr>
              <w:spacing w:after="40"/>
            </w:pPr>
            <w:r>
              <w:rPr>
                <w:b/>
                <w:bCs/>
                <w:color w:val="1A2B4C"/>
                <w:sz w:val="27"/>
                <w:szCs w:val="27"/>
              </w:rPr>
              <w:t xml:space="preserve">R$ 377,473</w:t>
            </w:r>
          </w:p>
          <w:p>
            <w:r>
              <w:rPr>
                <w:color w:val="5A5A5A"/>
                <w:sz w:val="15"/>
                <w:szCs w:val="15"/>
              </w:rPr>
              <w:t xml:space="preserve">wealthcommand · CALC (see reconciliation note)</w:t>
            </w:r>
          </w:p>
        </w:tc>
        <w:tc>
          <w:tcPr>
            <w:tcW w:type="dxa" w:w="2610"/>
            <w:shd w:fill="F5F6F9" w:color="auto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5A5A5A"/>
                <w:sz w:val="15"/>
                <w:szCs w:val="15"/>
              </w:rPr>
              <w:t xml:space="preserve">TOTAL LIQUID</w:t>
            </w:r>
          </w:p>
          <w:p>
            <w:pPr>
              <w:spacing w:after="40"/>
            </w:pPr>
            <w:r>
              <w:rPr>
                <w:b/>
                <w:bCs/>
                <w:color w:val="B5750B"/>
                <w:sz w:val="27"/>
                <w:szCs w:val="27"/>
              </w:rPr>
              <w:t xml:space="preserve">R$ 23,197</w:t>
            </w:r>
          </w:p>
          <w:p>
            <w:r>
              <w:rPr>
                <w:color w:val="5A5A5A"/>
                <w:sz w:val="15"/>
                <w:szCs w:val="15"/>
              </w:rPr>
              <w:t xml:space="preserve">Inter + MP + BB, confirmed 13 Jul</w:t>
            </w:r>
          </w:p>
        </w:tc>
        <w:tc>
          <w:tcPr>
            <w:tcW w:type="dxa" w:w="2610"/>
            <w:shd w:fill="F5F6F9" w:color="auto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5A5A5A"/>
                <w:sz w:val="15"/>
                <w:szCs w:val="15"/>
              </w:rPr>
              <w:t xml:space="preserve">CARD SPEND H1</w:t>
            </w:r>
          </w:p>
          <w:p>
            <w:pPr>
              <w:spacing w:after="40"/>
            </w:pPr>
            <w:r>
              <w:rPr>
                <w:b/>
                <w:bCs/>
                <w:color w:val="1E6B3A"/>
                <w:sz w:val="27"/>
                <w:szCs w:val="27"/>
              </w:rPr>
              <w:t xml:space="preserve">R$ 37,246</w:t>
            </w:r>
          </w:p>
          <w:p>
            <w:r>
              <w:rPr>
                <w:color w:val="5A5A5A"/>
                <w:sz w:val="15"/>
                <w:szCs w:val="15"/>
              </w:rPr>
              <w:t xml:space="preserve">146 tx · trending down since Mar</w:t>
            </w:r>
          </w:p>
        </w:tc>
        <w:tc>
          <w:tcPr>
            <w:tcW w:type="dxa" w:w="2610"/>
            <w:shd w:fill="F5F6F9" w:color="auto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5A5A5A"/>
                <w:sz w:val="15"/>
                <w:szCs w:val="15"/>
              </w:rPr>
              <w:t xml:space="preserve">FX SENT ABROAD</w:t>
            </w:r>
          </w:p>
          <w:p>
            <w:pPr>
              <w:spacing w:after="40"/>
            </w:pPr>
            <w:r>
              <w:rPr>
                <w:b/>
                <w:bCs/>
                <w:color w:val="B0212B"/>
                <w:sz w:val="27"/>
                <w:szCs w:val="27"/>
              </w:rPr>
              <w:t xml:space="preserve">R$ 652,789</w:t>
            </w:r>
          </w:p>
          <w:p>
            <w:r>
              <w:rPr>
                <w:color w:val="5A5A5A"/>
                <w:sz w:val="15"/>
                <w:szCs w:val="15"/>
              </w:rPr>
              <w:t xml:space="preserve">19 outbound ops · unreconciled</w:t>
            </w:r>
          </w:p>
        </w:tc>
      </w:tr>
    </w:tbl>
    <w:p>
      <w:pPr>
        <w:spacing w:after="260"/>
      </w:pPr>
    </w:p>
    <w:p>
      <w:pPr>
        <w:pStyle w:val="Heading1"/>
        <w:pBdr>
          <w:bottom w:val="single" w:color="1A2B4C" w:sz="8" w:space="4"/>
        </w:pBdr>
        <w:spacing w:after="160" w:before="360"/>
      </w:pPr>
      <w:r>
        <w:rPr>
          <w:b/>
          <w:bCs/>
          <w:color w:val="1A2B4C"/>
          <w:sz w:val="26"/>
          <w:szCs w:val="26"/>
        </w:rPr>
        <w:t xml:space="preserve">Executive Summary</w:t>
      </w:r>
    </w:p>
    <w:p>
      <w:pPr>
        <w:spacing w:after="120"/>
      </w:pPr>
      <w:r>
        <w:rPr>
          <w:color w:val="222222"/>
          <w:sz w:val="21"/>
          <w:szCs w:val="21"/>
        </w:rPr>
        <w:t xml:space="preserve">Three trackers cover H1 2026 (Jan–Jun): a transaction ledger (financeai-tracker.xlsx), a subscription audit (subscription-budget-2026.xlsx), and a consolidated command center (wealthcommand.xlsx). This report reconciles them into one view. Bottom line: liquidity is thin, capital deployment abroad is heavy, and three tracking files have started to disagree with each other — the highest-value fix is reconciliation, not more tooling.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1"/>
          <w:szCs w:val="21"/>
        </w:rPr>
        <w:t xml:space="preserve">Net worth is not fully reconciled: </w:t>
      </w:r>
      <w:r>
        <w:rPr>
          <w:sz w:val="21"/>
          <w:szCs w:val="21"/>
        </w:rPr>
        <w:t xml:space="preserve">the workbook itself reports two figures, R$377,473 and R$358,278, a R$19,196 gap tied to one unconfirmed Interactive Brokers withdrawal (Section 7).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1"/>
          <w:szCs w:val="21"/>
        </w:rPr>
        <w:t xml:space="preserve">Liquidity is concentrated and thin: </w:t>
      </w:r>
      <w:r>
        <w:rPr>
          <w:sz w:val="21"/>
          <w:szCs w:val="21"/>
        </w:rPr>
        <w:t xml:space="preserve">R$23,197 total, 100% in two digital banks (Inter + Mercado Pago); Banco do Brasil checking sits at R$0.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1"/>
          <w:szCs w:val="21"/>
        </w:rPr>
        <w:t xml:space="preserve">R$652,789 left the country in H1 </w:t>
      </w:r>
      <w:r>
        <w:rPr>
          <w:sz w:val="21"/>
          <w:szCs w:val="21"/>
        </w:rPr>
        <w:t xml:space="preserve">via 19 self-transfer operations, none yet reconciled against the destination account balance.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1"/>
          <w:szCs w:val="21"/>
        </w:rPr>
        <w:t xml:space="preserve">Card spend is trending the right way: </w:t>
      </w:r>
      <w:r>
        <w:rPr>
          <w:sz w:val="21"/>
          <w:szCs w:val="21"/>
        </w:rPr>
        <w:t xml:space="preserve">R$14,231 in March down to R$1,114 in June (‑92%), though the largest categories (travel, Mercado Livre, AI tools, Loteria) are all discretionary.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1"/>
          <w:szCs w:val="21"/>
        </w:rPr>
        <w:t xml:space="preserve">R$4,390/yr in subscriptions can be cancelled today </w:t>
      </w:r>
      <w:r>
        <w:rPr>
          <w:sz w:val="21"/>
          <w:szCs w:val="21"/>
        </w:rPr>
        <w:t xml:space="preserve">with zero downside — including a duplicate Claude Pro seat — and another R$7,763/yr sits undecided across 7 services.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1"/>
          <w:szCs w:val="21"/>
        </w:rPr>
        <w:t xml:space="preserve">Loteria charges: </w:t>
      </w:r>
      <w:r>
        <w:rPr>
          <w:sz w:val="21"/>
          <w:szCs w:val="21"/>
        </w:rPr>
        <w:t xml:space="preserve">39 transactions, R$6,455 in H1, no budget cap set — flagged internally as HIGH risk with no action taken yet.</w:t>
      </w:r>
    </w:p>
    <w:p>
      <w:pPr>
        <w:pStyle w:val="Heading1"/>
        <w:pBdr>
          <w:bottom w:val="single" w:color="1A2B4C" w:sz="8" w:space="4"/>
        </w:pBdr>
        <w:spacing w:after="160" w:before="360"/>
      </w:pPr>
      <w:r>
        <w:rPr>
          <w:b/>
          <w:bCs/>
          <w:color w:val="1A2B4C"/>
          <w:sz w:val="26"/>
          <w:szCs w:val="26"/>
        </w:rPr>
        <w:t xml:space="preserve">1 · Net Worth &amp; Liquidity</w:t>
      </w:r>
    </w:p>
    <w:p>
      <w:pPr>
        <w:spacing w:after="120"/>
      </w:pPr>
      <w:r>
        <w:rPr>
          <w:color w:val="222222"/>
          <w:sz w:val="21"/>
          <w:szCs w:val="21"/>
        </w:rPr>
        <w:t xml:space="preserve">Balances confirmed as of 12–13 July 2026: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2580"/>
        <w:gridCol w:w="2580"/>
        <w:gridCol w:w="2380"/>
      </w:tblGrid>
      <w:tr>
        <w:trPr>
          <w:tblHeader/>
        </w:trPr>
        <w:tc>
          <w:tcPr>
            <w:tcW w:type="dxa" w:w="2900"/>
            <w:shd w:fill="1A2B4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Institution</w:t>
            </w:r>
          </w:p>
        </w:tc>
        <w:tc>
          <w:tcPr>
            <w:tcW w:type="dxa" w:w="2580"/>
            <w:shd w:fill="1A2B4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580"/>
            <w:shd w:fill="1A2B4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Balance (R$)</w:t>
            </w:r>
          </w:p>
        </w:tc>
        <w:tc>
          <w:tcPr>
            <w:tcW w:type="dxa" w:w="2380"/>
            <w:shd w:fill="1A2B4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Banco Inter (6627102)</w:t>
            </w:r>
          </w:p>
        </w:tc>
        <w:tc>
          <w:tcPr>
            <w:tcW w:type="dxa" w:w="25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Digital</w:t>
            </w:r>
          </w:p>
        </w:tc>
        <w:tc>
          <w:tcPr>
            <w:tcW w:type="dxa" w:w="25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18,934.67</w:t>
            </w:r>
          </w:p>
        </w:tc>
        <w:tc>
          <w:tcPr>
            <w:tcW w:type="dxa" w:w="23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Confirmed 13/Jul</w:t>
            </w:r>
          </w:p>
        </w:tc>
      </w:tr>
      <w:tr>
        <w:tc>
          <w:tcPr>
            <w:tcW w:type="dxa" w:w="2900"/>
            <w:shd w:fill="EEF1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Mercado Pago</w:t>
            </w:r>
          </w:p>
        </w:tc>
        <w:tc>
          <w:tcPr>
            <w:tcW w:type="dxa" w:w="2580"/>
            <w:shd w:fill="EEF1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Digital</w:t>
            </w:r>
          </w:p>
        </w:tc>
        <w:tc>
          <w:tcPr>
            <w:tcW w:type="dxa" w:w="2580"/>
            <w:shd w:fill="EEF1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4,262.23</w:t>
            </w:r>
          </w:p>
        </w:tc>
        <w:tc>
          <w:tcPr>
            <w:tcW w:type="dxa" w:w="2380"/>
            <w:shd w:fill="EEF1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Confirmed 12/Jul</w:t>
            </w:r>
          </w:p>
        </w:tc>
      </w:tr>
      <w:tr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BB Brasil (checking)</w:t>
            </w:r>
          </w:p>
        </w:tc>
        <w:tc>
          <w:tcPr>
            <w:tcW w:type="dxa" w:w="25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Traditional</w:t>
            </w:r>
          </w:p>
        </w:tc>
        <w:tc>
          <w:tcPr>
            <w:tcW w:type="dxa" w:w="25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0.00</w:t>
            </w:r>
          </w:p>
        </w:tc>
        <w:tc>
          <w:tcPr>
            <w:tcW w:type="dxa" w:w="23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Rende Fácil not in export</w:t>
            </w:r>
          </w:p>
        </w:tc>
      </w:tr>
      <w:tr>
        <w:tc>
          <w:tcPr>
            <w:tcW w:type="dxa" w:w="2900"/>
            <w:shd w:fill="EEF1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Total Liquid</w:t>
            </w:r>
          </w:p>
        </w:tc>
        <w:tc>
          <w:tcPr>
            <w:tcW w:type="dxa" w:w="2580"/>
            <w:shd w:fill="EEF1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2580"/>
            <w:shd w:fill="EEF1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23,196.90</w:t>
            </w:r>
          </w:p>
        </w:tc>
        <w:tc>
          <w:tcPr>
            <w:tcW w:type="dxa" w:w="2380"/>
            <w:shd w:fill="EEF1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/>
            </w:r>
          </w:p>
        </w:tc>
      </w:tr>
    </w:tbl>
    <w:p>
      <w:pPr>
        <w:spacing w:after="160"/>
      </w:pPr>
    </w:p>
    <w:p>
      <w:pPr>
        <w:spacing w:after="120"/>
      </w:pPr>
      <w:r>
        <w:rPr>
          <w:color w:val="222222"/>
          <w:sz w:val="21"/>
          <w:szCs w:val="21"/>
        </w:rPr>
        <w:t xml:space="preserve">Capital deployed (not liquid, not spent — moved into investment vehicles):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2580"/>
        <w:gridCol w:w="2580"/>
        <w:gridCol w:w="2380"/>
      </w:tblGrid>
      <w:tr>
        <w:trPr>
          <w:tblHeader/>
        </w:trPr>
        <w:tc>
          <w:tcPr>
            <w:tcW w:type="dxa" w:w="2900"/>
            <w:shd w:fill="1A2B4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Instrument</w:t>
            </w:r>
          </w:p>
        </w:tc>
        <w:tc>
          <w:tcPr>
            <w:tcW w:type="dxa" w:w="2580"/>
            <w:shd w:fill="1A2B4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BRL Equivalent</w:t>
            </w:r>
          </w:p>
        </w:tc>
        <w:tc>
          <w:tcPr>
            <w:tcW w:type="dxa" w:w="2580"/>
            <w:shd w:fill="1A2B4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Period</w:t>
            </w:r>
          </w:p>
        </w:tc>
        <w:tc>
          <w:tcPr>
            <w:tcW w:type="dxa" w:w="2380"/>
            <w:shd w:fill="1A2B4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Interactive Brokers — net deposits</w:t>
            </w:r>
          </w:p>
        </w:tc>
        <w:tc>
          <w:tcPr>
            <w:tcW w:type="dxa" w:w="25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197,706.57</w:t>
            </w:r>
          </w:p>
        </w:tc>
        <w:tc>
          <w:tcPr>
            <w:tcW w:type="dxa" w:w="25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Jan–Jun (7 deposits)</w:t>
            </w:r>
          </w:p>
        </w:tc>
        <w:tc>
          <w:tcPr>
            <w:tcW w:type="dxa" w:w="23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Deployed</w:t>
            </w:r>
          </w:p>
        </w:tc>
      </w:tr>
      <w:tr>
        <w:tc>
          <w:tcPr>
            <w:tcW w:type="dxa" w:w="2900"/>
            <w:shd w:fill="EEF1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Interactive Brokers — withdrawal</w:t>
            </w:r>
          </w:p>
        </w:tc>
        <w:tc>
          <w:tcPr>
            <w:tcW w:type="dxa" w:w="2580"/>
            <w:shd w:fill="EEF1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(19,195.81)</w:t>
            </w:r>
          </w:p>
        </w:tc>
        <w:tc>
          <w:tcPr>
            <w:tcW w:type="dxa" w:w="2580"/>
            <w:shd w:fill="EEF1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Jun</w:t>
            </w:r>
          </w:p>
        </w:tc>
        <w:tc>
          <w:tcPr>
            <w:tcW w:type="dxa" w:w="2380"/>
            <w:shd w:fill="EEF1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Destination unconfirmed</w:t>
            </w:r>
          </w:p>
        </w:tc>
      </w:tr>
      <w:tr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Fundos BRL (Banco Topázio)</w:t>
            </w:r>
          </w:p>
        </w:tc>
        <w:tc>
          <w:tcPr>
            <w:tcW w:type="dxa" w:w="25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175,765.83</w:t>
            </w:r>
          </w:p>
        </w:tc>
        <w:tc>
          <w:tcPr>
            <w:tcW w:type="dxa" w:w="25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May–Jun (3 deposits)</w:t>
            </w:r>
          </w:p>
        </w:tc>
        <w:tc>
          <w:tcPr>
            <w:tcW w:type="dxa" w:w="23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Deployed</w:t>
            </w:r>
          </w:p>
        </w:tc>
      </w:tr>
      <w:tr>
        <w:tc>
          <w:tcPr>
            <w:tcW w:type="dxa" w:w="2900"/>
            <w:shd w:fill="EEF1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Total Investment Deployment</w:t>
            </w:r>
          </w:p>
        </w:tc>
        <w:tc>
          <w:tcPr>
            <w:tcW w:type="dxa" w:w="2580"/>
            <w:shd w:fill="EEF1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354,276.59</w:t>
            </w:r>
          </w:p>
        </w:tc>
        <w:tc>
          <w:tcPr>
            <w:tcW w:type="dxa" w:w="2580"/>
            <w:shd w:fill="EEF1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2380"/>
            <w:shd w:fill="EEF1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/>
            </w:r>
          </w:p>
        </w:tc>
      </w:tr>
    </w:tbl>
    <w:p>
      <w:pPr>
        <w:spacing w:after="160"/>
      </w:pPr>
    </w:p>
    <w:p>
      <w:pPr>
        <w:spacing w:after="120"/>
      </w:pPr>
      <w:r>
        <w:rPr>
          <w:color w:val="222222"/>
          <w:sz w:val="21"/>
          <w:szCs w:val="21"/>
        </w:rPr>
        <w:t xml:space="preserve">Estimated net worth (Liquid + Investments) reads R$377,473 in the CALC master sheet and R$358,278 on the dedicated Net Worth sheet — see Section 7 for the reconciliation flag before treating either as final.</w:t>
      </w:r>
    </w:p>
    <w:p>
      <w:pPr>
        <w:pStyle w:val="Heading1"/>
        <w:pBdr>
          <w:bottom w:val="single" w:color="1A2B4C" w:sz="8" w:space="4"/>
        </w:pBdr>
        <w:spacing w:after="160" w:before="360"/>
      </w:pPr>
      <w:r>
        <w:rPr>
          <w:b/>
          <w:bCs/>
          <w:color w:val="1A2B4C"/>
          <w:sz w:val="26"/>
          <w:szCs w:val="26"/>
        </w:rPr>
        <w:t xml:space="preserve">2 · Cash Flow — Monthly, H1 2026</w:t>
      </w:r>
    </w:p>
    <w:p>
      <w:pPr>
        <w:spacing w:after="120"/>
      </w:pPr>
      <w:r>
        <w:rPr>
          <w:color w:val="222222"/>
          <w:sz w:val="21"/>
          <w:szCs w:val="21"/>
        </w:rPr>
        <w:t xml:space="preserve">Card spend, PIX movement and FX activity by month (Banco Inter + Mercado Pago card + BCB câmbio register, unified):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260"/>
        <w:gridCol w:w="2260"/>
        <w:gridCol w:w="2260"/>
        <w:gridCol w:w="1960"/>
      </w:tblGrid>
      <w:tr>
        <w:trPr>
          <w:tblHeader/>
        </w:trPr>
        <w:tc>
          <w:tcPr>
            <w:tcW w:type="dxa" w:w="1700"/>
            <w:shd w:fill="1A2B4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Month</w:t>
            </w:r>
          </w:p>
        </w:tc>
        <w:tc>
          <w:tcPr>
            <w:tcW w:type="dxa" w:w="2260"/>
            <w:shd w:fill="1A2B4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Card Spend (R$)</w:t>
            </w:r>
          </w:p>
        </w:tc>
        <w:tc>
          <w:tcPr>
            <w:tcW w:type="dxa" w:w="2260"/>
            <w:shd w:fill="1A2B4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PIX Net (R$)</w:t>
            </w:r>
          </w:p>
        </w:tc>
        <w:tc>
          <w:tcPr>
            <w:tcW w:type="dxa" w:w="2260"/>
            <w:shd w:fill="1A2B4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FX Outbound (R$)</w:t>
            </w:r>
          </w:p>
        </w:tc>
        <w:tc>
          <w:tcPr>
            <w:tcW w:type="dxa" w:w="1960"/>
            <w:shd w:fill="1A2B4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Net Flow (R$)</w:t>
            </w:r>
          </w:p>
        </w:tc>
      </w:tr>
      <w:t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Jan</w:t>
            </w:r>
          </w:p>
        </w:tc>
        <w:tc>
          <w:tcPr>
            <w:tcW w:type="dxa" w:w="22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3,745</w:t>
            </w:r>
          </w:p>
        </w:tc>
        <w:tc>
          <w:tcPr>
            <w:tcW w:type="dxa" w:w="22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0</w:t>
            </w:r>
          </w:p>
        </w:tc>
        <w:tc>
          <w:tcPr>
            <w:tcW w:type="dxa" w:w="22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31,950</w:t>
            </w:r>
          </w:p>
        </w:tc>
        <w:tc>
          <w:tcPr>
            <w:tcW w:type="dxa" w:w="1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−34,624</w:t>
            </w:r>
          </w:p>
        </w:tc>
      </w:tr>
      <w:tr>
        <w:tc>
          <w:tcPr>
            <w:tcW w:type="dxa" w:w="1700"/>
            <w:shd w:fill="EEF1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Feb</w:t>
            </w:r>
          </w:p>
        </w:tc>
        <w:tc>
          <w:tcPr>
            <w:tcW w:type="dxa" w:w="2260"/>
            <w:shd w:fill="EEF1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9,516</w:t>
            </w:r>
          </w:p>
        </w:tc>
        <w:tc>
          <w:tcPr>
            <w:tcW w:type="dxa" w:w="2260"/>
            <w:shd w:fill="EEF1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40,000</w:t>
            </w:r>
          </w:p>
        </w:tc>
        <w:tc>
          <w:tcPr>
            <w:tcW w:type="dxa" w:w="2260"/>
            <w:shd w:fill="EEF1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31,659</w:t>
            </w:r>
          </w:p>
        </w:tc>
        <w:tc>
          <w:tcPr>
            <w:tcW w:type="dxa" w:w="1960"/>
            <w:shd w:fill="EEF1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−1,175</w:t>
            </w:r>
          </w:p>
        </w:tc>
      </w:tr>
      <w:t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Mar</w:t>
            </w:r>
          </w:p>
        </w:tc>
        <w:tc>
          <w:tcPr>
            <w:tcW w:type="dxa" w:w="22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14,231</w:t>
            </w:r>
          </w:p>
        </w:tc>
        <w:tc>
          <w:tcPr>
            <w:tcW w:type="dxa" w:w="22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−11,432</w:t>
            </w:r>
          </w:p>
        </w:tc>
        <w:tc>
          <w:tcPr>
            <w:tcW w:type="dxa" w:w="22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47,865</w:t>
            </w:r>
          </w:p>
        </w:tc>
        <w:tc>
          <w:tcPr>
            <w:tcW w:type="dxa" w:w="1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−73,529</w:t>
            </w:r>
          </w:p>
        </w:tc>
      </w:tr>
      <w:tr>
        <w:tc>
          <w:tcPr>
            <w:tcW w:type="dxa" w:w="1700"/>
            <w:shd w:fill="EEF1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Apr</w:t>
            </w:r>
          </w:p>
        </w:tc>
        <w:tc>
          <w:tcPr>
            <w:tcW w:type="dxa" w:w="2260"/>
            <w:shd w:fill="EEF1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5,330</w:t>
            </w:r>
          </w:p>
        </w:tc>
        <w:tc>
          <w:tcPr>
            <w:tcW w:type="dxa" w:w="2260"/>
            <w:shd w:fill="EEF1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29,670</w:t>
            </w:r>
          </w:p>
        </w:tc>
        <w:tc>
          <w:tcPr>
            <w:tcW w:type="dxa" w:w="2260"/>
            <w:shd w:fill="EEF1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15,878</w:t>
            </w:r>
          </w:p>
        </w:tc>
        <w:tc>
          <w:tcPr>
            <w:tcW w:type="dxa" w:w="1960"/>
            <w:shd w:fill="EEF1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8,965</w:t>
            </w:r>
          </w:p>
        </w:tc>
      </w:tr>
      <w:t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May</w:t>
            </w:r>
          </w:p>
        </w:tc>
        <w:tc>
          <w:tcPr>
            <w:tcW w:type="dxa" w:w="22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3,308</w:t>
            </w:r>
          </w:p>
        </w:tc>
        <w:tc>
          <w:tcPr>
            <w:tcW w:type="dxa" w:w="22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45,080</w:t>
            </w:r>
          </w:p>
        </w:tc>
        <w:tc>
          <w:tcPr>
            <w:tcW w:type="dxa" w:w="22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195,935</w:t>
            </w:r>
          </w:p>
        </w:tc>
        <w:tc>
          <w:tcPr>
            <w:tcW w:type="dxa" w:w="1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48,572</w:t>
            </w:r>
          </w:p>
        </w:tc>
      </w:tr>
      <w:tr>
        <w:tc>
          <w:tcPr>
            <w:tcW w:type="dxa" w:w="1700"/>
            <w:shd w:fill="EEF1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Jun</w:t>
            </w:r>
          </w:p>
        </w:tc>
        <w:tc>
          <w:tcPr>
            <w:tcW w:type="dxa" w:w="2260"/>
            <w:shd w:fill="EEF1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1,114</w:t>
            </w:r>
          </w:p>
        </w:tc>
        <w:tc>
          <w:tcPr>
            <w:tcW w:type="dxa" w:w="2260"/>
            <w:shd w:fill="EEF1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41,530</w:t>
            </w:r>
          </w:p>
        </w:tc>
        <w:tc>
          <w:tcPr>
            <w:tcW w:type="dxa" w:w="2260"/>
            <w:shd w:fill="EEF1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329,502</w:t>
            </w:r>
          </w:p>
        </w:tc>
        <w:tc>
          <w:tcPr>
            <w:tcW w:type="dxa" w:w="1960"/>
            <w:shd w:fill="EEF1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−1,871</w:t>
            </w:r>
          </w:p>
        </w:tc>
      </w:tr>
    </w:tbl>
    <w:p>
      <w:pPr>
        <w:spacing w:after="160"/>
      </w:pPr>
    </w:p>
    <w:p>
      <w:pPr>
        <w:spacing w:after="120"/>
      </w:pPr>
      <w:r>
        <w:rPr>
          <w:color w:val="222222"/>
          <w:sz w:val="21"/>
          <w:szCs w:val="21"/>
        </w:rPr>
        <w:t xml:space="preserve">Card spend fell every month from March onward (‑92% Mar→Jun). The large negative net-flow months (Jan, Mar) are FX self-transfer months, not overspending months — see the budget-model note in Section 8.</w:t>
      </w:r>
    </w:p>
    <w:p>
      <w:pPr>
        <w:pStyle w:val="Heading1"/>
        <w:pBdr>
          <w:bottom w:val="single" w:color="1A2B4C" w:sz="8" w:space="4"/>
        </w:pBdr>
        <w:spacing w:after="160" w:before="360"/>
      </w:pPr>
      <w:r>
        <w:rPr>
          <w:b/>
          <w:bCs/>
          <w:color w:val="1A2B4C"/>
          <w:sz w:val="26"/>
          <w:szCs w:val="26"/>
        </w:rPr>
        <w:t xml:space="preserve">3 · International Capital Movements</w:t>
      </w:r>
    </w:p>
    <w:p>
      <w:pPr>
        <w:spacing w:after="120"/>
      </w:pPr>
      <w:r>
        <w:rPr>
          <w:color w:val="222222"/>
          <w:sz w:val="21"/>
          <w:szCs w:val="21"/>
        </w:rPr>
        <w:t xml:space="preserve">32 BCB Câmbio operations, Jan–Jun 2026, avg outbound rate R$5.18/USD: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2580"/>
        <w:gridCol w:w="2580"/>
        <w:gridCol w:w="2380"/>
      </w:tblGrid>
      <w:tr>
        <w:trPr>
          <w:tblHeader/>
        </w:trPr>
        <w:tc>
          <w:tcPr>
            <w:tcW w:type="dxa" w:w="2900"/>
            <w:shd w:fill="1A2B4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Direction</w:t>
            </w:r>
          </w:p>
        </w:tc>
        <w:tc>
          <w:tcPr>
            <w:tcW w:type="dxa" w:w="2580"/>
            <w:shd w:fill="1A2B4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Ops</w:t>
            </w:r>
          </w:p>
        </w:tc>
        <w:tc>
          <w:tcPr>
            <w:tcW w:type="dxa" w:w="2580"/>
            <w:shd w:fill="1A2B4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BRL Total</w:t>
            </w:r>
          </w:p>
        </w:tc>
        <w:tc>
          <w:tcPr>
            <w:tcW w:type="dxa" w:w="2380"/>
            <w:shd w:fill="1A2B4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% of Flow</w:t>
            </w:r>
          </w:p>
        </w:tc>
      </w:tr>
      <w:tr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Outbound (self-transfer, own USD account)</w:t>
            </w:r>
          </w:p>
        </w:tc>
        <w:tc>
          <w:tcPr>
            <w:tcW w:type="dxa" w:w="25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19</w:t>
            </w:r>
          </w:p>
        </w:tc>
        <w:tc>
          <w:tcPr>
            <w:tcW w:type="dxa" w:w="25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652,788.61</w:t>
            </w:r>
          </w:p>
        </w:tc>
        <w:tc>
          <w:tcPr>
            <w:tcW w:type="dxa" w:w="23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60.8%</w:t>
            </w:r>
          </w:p>
        </w:tc>
      </w:tr>
      <w:tr>
        <w:tc>
          <w:tcPr>
            <w:tcW w:type="dxa" w:w="2900"/>
            <w:shd w:fill="EEF1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IB Deposit</w:t>
            </w:r>
          </w:p>
        </w:tc>
        <w:tc>
          <w:tcPr>
            <w:tcW w:type="dxa" w:w="2580"/>
            <w:shd w:fill="EEF1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7</w:t>
            </w:r>
          </w:p>
        </w:tc>
        <w:tc>
          <w:tcPr>
            <w:tcW w:type="dxa" w:w="2580"/>
            <w:shd w:fill="EEF1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197,706.57</w:t>
            </w:r>
          </w:p>
        </w:tc>
        <w:tc>
          <w:tcPr>
            <w:tcW w:type="dxa" w:w="2380"/>
            <w:shd w:fill="EEF1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18.4%</w:t>
            </w:r>
          </w:p>
        </w:tc>
      </w:tr>
      <w:tr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Fund Deposit (Topázio)</w:t>
            </w:r>
          </w:p>
        </w:tc>
        <w:tc>
          <w:tcPr>
            <w:tcW w:type="dxa" w:w="25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3</w:t>
            </w:r>
          </w:p>
        </w:tc>
        <w:tc>
          <w:tcPr>
            <w:tcW w:type="dxa" w:w="25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175,765.83</w:t>
            </w:r>
          </w:p>
        </w:tc>
        <w:tc>
          <w:tcPr>
            <w:tcW w:type="dxa" w:w="23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16.4%</w:t>
            </w:r>
          </w:p>
        </w:tc>
      </w:tr>
      <w:tr>
        <w:tc>
          <w:tcPr>
            <w:tcW w:type="dxa" w:w="2900"/>
            <w:shd w:fill="EEF1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Inbound</w:t>
            </w:r>
          </w:p>
        </w:tc>
        <w:tc>
          <w:tcPr>
            <w:tcW w:type="dxa" w:w="2580"/>
            <w:shd w:fill="EEF1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2</w:t>
            </w:r>
          </w:p>
        </w:tc>
        <w:tc>
          <w:tcPr>
            <w:tcW w:type="dxa" w:w="2580"/>
            <w:shd w:fill="EEF1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98,857.00</w:t>
            </w:r>
          </w:p>
        </w:tc>
        <w:tc>
          <w:tcPr>
            <w:tcW w:type="dxa" w:w="2380"/>
            <w:shd w:fill="EEF1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IB Withdrawal</w:t>
            </w:r>
          </w:p>
        </w:tc>
        <w:tc>
          <w:tcPr>
            <w:tcW w:type="dxa" w:w="25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1</w:t>
            </w:r>
          </w:p>
        </w:tc>
        <w:tc>
          <w:tcPr>
            <w:tcW w:type="dxa" w:w="25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19,195.81</w:t>
            </w:r>
          </w:p>
        </w:tc>
        <w:tc>
          <w:tcPr>
            <w:tcW w:type="dxa" w:w="23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1.8%</w:t>
            </w:r>
          </w:p>
        </w:tc>
      </w:tr>
    </w:tbl>
    <w:p>
      <w:pPr>
        <w:spacing w:after="160"/>
      </w:pPr>
    </w:p>
    <w:p>
      <w:pPr>
        <w:spacing w:after="120"/>
      </w:pPr>
      <w:r>
        <w:rPr>
          <w:color w:val="222222"/>
          <w:sz w:val="21"/>
          <w:szCs w:val="21"/>
        </w:rPr>
        <w:t xml:space="preserve">By institution — BB Brasil carries most of the outbound flow; Banco Topázio is the IB/fund gateway; Wise Brasil handles the UK corridor: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2580"/>
        <w:gridCol w:w="2580"/>
        <w:gridCol w:w="2380"/>
      </w:tblGrid>
      <w:tr>
        <w:trPr>
          <w:tblHeader/>
        </w:trPr>
        <w:tc>
          <w:tcPr>
            <w:tcW w:type="dxa" w:w="2900"/>
            <w:shd w:fill="1A2B4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Institution</w:t>
            </w:r>
          </w:p>
        </w:tc>
        <w:tc>
          <w:tcPr>
            <w:tcW w:type="dxa" w:w="2580"/>
            <w:shd w:fill="1A2B4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Ops</w:t>
            </w:r>
          </w:p>
        </w:tc>
        <w:tc>
          <w:tcPr>
            <w:tcW w:type="dxa" w:w="2580"/>
            <w:shd w:fill="1A2B4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Outbound (R$)</w:t>
            </w:r>
          </w:p>
        </w:tc>
        <w:tc>
          <w:tcPr>
            <w:tcW w:type="dxa" w:w="2380"/>
            <w:shd w:fill="1A2B4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Inbound (R$)</w:t>
            </w:r>
          </w:p>
        </w:tc>
      </w:tr>
      <w:tr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BB Brasil</w:t>
            </w:r>
          </w:p>
        </w:tc>
        <w:tc>
          <w:tcPr>
            <w:tcW w:type="dxa" w:w="25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15</w:t>
            </w:r>
          </w:p>
        </w:tc>
        <w:tc>
          <w:tcPr>
            <w:tcW w:type="dxa" w:w="25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464,305.63</w:t>
            </w:r>
          </w:p>
        </w:tc>
        <w:tc>
          <w:tcPr>
            <w:tcW w:type="dxa" w:w="23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73,857.00</w:t>
            </w:r>
          </w:p>
        </w:tc>
      </w:tr>
      <w:tr>
        <w:tc>
          <w:tcPr>
            <w:tcW w:type="dxa" w:w="2900"/>
            <w:shd w:fill="EEF1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Banco Topázio</w:t>
            </w:r>
          </w:p>
        </w:tc>
        <w:tc>
          <w:tcPr>
            <w:tcW w:type="dxa" w:w="2580"/>
            <w:shd w:fill="EEF1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8</w:t>
            </w:r>
          </w:p>
        </w:tc>
        <w:tc>
          <w:tcPr>
            <w:tcW w:type="dxa" w:w="2580"/>
            <w:shd w:fill="EEF1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0.00</w:t>
            </w:r>
          </w:p>
        </w:tc>
        <w:tc>
          <w:tcPr>
            <w:tcW w:type="dxa" w:w="2380"/>
            <w:shd w:fill="EEF1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315,879.73</w:t>
            </w:r>
          </w:p>
        </w:tc>
      </w:tr>
      <w:tr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Wise Brasil</w:t>
            </w:r>
          </w:p>
        </w:tc>
        <w:tc>
          <w:tcPr>
            <w:tcW w:type="dxa" w:w="25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6</w:t>
            </w:r>
          </w:p>
        </w:tc>
        <w:tc>
          <w:tcPr>
            <w:tcW w:type="dxa" w:w="25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89,202.74</w:t>
            </w:r>
          </w:p>
        </w:tc>
        <w:tc>
          <w:tcPr>
            <w:tcW w:type="dxa" w:w="23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57,592.67</w:t>
            </w:r>
          </w:p>
        </w:tc>
      </w:tr>
      <w:tr>
        <w:tc>
          <w:tcPr>
            <w:tcW w:type="dxa" w:w="2900"/>
            <w:shd w:fill="EEF1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Banco Inter</w:t>
            </w:r>
          </w:p>
        </w:tc>
        <w:tc>
          <w:tcPr>
            <w:tcW w:type="dxa" w:w="2580"/>
            <w:shd w:fill="EEF1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2</w:t>
            </w:r>
          </w:p>
        </w:tc>
        <w:tc>
          <w:tcPr>
            <w:tcW w:type="dxa" w:w="2580"/>
            <w:shd w:fill="EEF1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99,280.24</w:t>
            </w:r>
          </w:p>
        </w:tc>
        <w:tc>
          <w:tcPr>
            <w:tcW w:type="dxa" w:w="2380"/>
            <w:shd w:fill="EEF1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0.00</w:t>
            </w:r>
          </w:p>
        </w:tc>
      </w:tr>
      <w:tr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Ouribank</w:t>
            </w:r>
          </w:p>
        </w:tc>
        <w:tc>
          <w:tcPr>
            <w:tcW w:type="dxa" w:w="25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1</w:t>
            </w:r>
          </w:p>
        </w:tc>
        <w:tc>
          <w:tcPr>
            <w:tcW w:type="dxa" w:w="25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0.00</w:t>
            </w:r>
          </w:p>
        </w:tc>
        <w:tc>
          <w:tcPr>
            <w:tcW w:type="dxa" w:w="23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25,000.00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color w:val="222222"/>
          <w:sz w:val="21"/>
          <w:szCs w:val="21"/>
        </w:rPr>
        <w:t xml:space="preserve">This is the single largest number in the whole workspace and it has not been reconciled against a USD account statement (Alert #2, Section 7).</w:t>
      </w:r>
    </w:p>
    <w:p>
      <w:pPr>
        <w:pStyle w:val="Heading1"/>
        <w:pBdr>
          <w:bottom w:val="single" w:color="1A2B4C" w:sz="8" w:space="4"/>
        </w:pBdr>
        <w:spacing w:after="160" w:before="360"/>
      </w:pPr>
      <w:r>
        <w:rPr>
          <w:b/>
          <w:bCs/>
          <w:color w:val="1A2B4C"/>
          <w:sz w:val="26"/>
          <w:szCs w:val="26"/>
        </w:rPr>
        <w:t xml:space="preserve">4 · Portfolio Deployment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5640"/>
      </w:tblGrid>
      <w:tr>
        <w:trPr>
          <w:tblHeader/>
        </w:trPr>
        <w:tc>
          <w:tcPr>
            <w:tcW w:type="dxa" w:w="2200"/>
            <w:shd w:fill="1A2B4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Vehicle</w:t>
            </w:r>
          </w:p>
        </w:tc>
        <w:tc>
          <w:tcPr>
            <w:tcW w:type="dxa" w:w="2600"/>
            <w:shd w:fill="1A2B4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Amount</w:t>
            </w:r>
          </w:p>
        </w:tc>
        <w:tc>
          <w:tcPr>
            <w:tcW w:type="dxa" w:w="5640"/>
            <w:shd w:fill="1A2B4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Interactive Brokers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USD 42,636 gross / R$216,902</w:t>
            </w:r>
          </w:p>
        </w:tc>
        <w:tc>
          <w:tcPr>
            <w:tcW w:type="dxa" w:w="56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8 movements — includes the June withdrawal counted as inflow; net deployed is R$178,511 (Section 7)</w:t>
            </w:r>
          </w:p>
        </w:tc>
      </w:tr>
      <w:tr>
        <w:tc>
          <w:tcPr>
            <w:tcW w:type="dxa" w:w="2200"/>
            <w:shd w:fill="EEF1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Fundos BRL — Topázio</w:t>
            </w:r>
          </w:p>
        </w:tc>
        <w:tc>
          <w:tcPr>
            <w:tcW w:type="dxa" w:w="2600"/>
            <w:shd w:fill="EEF1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R$175,766</w:t>
            </w:r>
          </w:p>
        </w:tc>
        <w:tc>
          <w:tcPr>
            <w:tcW w:type="dxa" w:w="5640"/>
            <w:shd w:fill="EEF1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3 deposits: R$45k (22 May) + R$78k (5 Jun) + R$52k (19 Jun)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Combined deployment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R$354,277 (net)</w:t>
            </w:r>
          </w:p>
        </w:tc>
        <w:tc>
          <w:tcPr>
            <w:tcW w:type="dxa" w:w="56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vs. R$23,197 liquid buffer — 15:1 deployed-to-liquid ratio</w:t>
            </w:r>
          </w:p>
        </w:tc>
      </w:tr>
    </w:tbl>
    <w:p>
      <w:pPr>
        <w:pStyle w:val="Heading1"/>
        <w:pBdr>
          <w:bottom w:val="single" w:color="1A2B4C" w:sz="8" w:space="4"/>
        </w:pBdr>
        <w:spacing w:after="160" w:before="360"/>
      </w:pPr>
      <w:r>
        <w:rPr>
          <w:b/>
          <w:bCs/>
          <w:color w:val="1A2B4C"/>
          <w:sz w:val="26"/>
          <w:szCs w:val="26"/>
        </w:rPr>
        <w:t xml:space="preserve">5 · Lifestyle &amp; Card Spend</w:t>
      </w:r>
    </w:p>
    <w:p>
      <w:pPr>
        <w:spacing w:after="120"/>
      </w:pPr>
      <w:r>
        <w:rPr>
          <w:color w:val="222222"/>
          <w:sz w:val="21"/>
          <w:szCs w:val="21"/>
        </w:rPr>
        <w:t xml:space="preserve">R$37,245.76 across 146 card transactions, H1 2026: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700"/>
        <w:gridCol w:w="1700"/>
        <w:gridCol w:w="4640"/>
      </w:tblGrid>
      <w:tr>
        <w:trPr>
          <w:tblHeader/>
        </w:trPr>
        <w:tc>
          <w:tcPr>
            <w:tcW w:type="dxa" w:w="2400"/>
            <w:shd w:fill="1A2B4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tcW w:type="dxa" w:w="1700"/>
            <w:shd w:fill="1A2B4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Total (R$)</w:t>
            </w:r>
          </w:p>
        </w:tc>
        <w:tc>
          <w:tcPr>
            <w:tcW w:type="dxa" w:w="1700"/>
            <w:shd w:fill="1A2B4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% of Spend</w:t>
            </w:r>
          </w:p>
        </w:tc>
        <w:tc>
          <w:tcPr>
            <w:tcW w:type="dxa" w:w="4640"/>
            <w:shd w:fill="1A2B4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Read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Viagem (Travel)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9,036.83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24.3%</w:t>
            </w:r>
          </w:p>
        </w:tc>
        <w:tc>
          <w:tcPr>
            <w:tcW w:type="dxa" w:w="46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Discretionary — 1 airline charge</w:t>
            </w:r>
          </w:p>
        </w:tc>
      </w:tr>
      <w:tr>
        <w:tc>
          <w:tcPr>
            <w:tcW w:type="dxa" w:w="2400"/>
            <w:shd w:fill="EEF1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Compras/ML (Mercado Livre)</w:t>
            </w:r>
          </w:p>
        </w:tc>
        <w:tc>
          <w:tcPr>
            <w:tcW w:type="dxa" w:w="1700"/>
            <w:shd w:fill="EEF1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8,744.68</w:t>
            </w:r>
          </w:p>
        </w:tc>
        <w:tc>
          <w:tcPr>
            <w:tcW w:type="dxa" w:w="1700"/>
            <w:shd w:fill="EEF1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23.5%</w:t>
            </w:r>
          </w:p>
        </w:tc>
        <w:tc>
          <w:tcPr>
            <w:tcW w:type="dxa" w:w="4640"/>
            <w:shd w:fill="EEF1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Discretionary — electronics, home office, CPAP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IA/Tecnologia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6,624.36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17.8%</w:t>
            </w:r>
          </w:p>
        </w:tc>
        <w:tc>
          <w:tcPr>
            <w:tcW w:type="dxa" w:w="46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Review — overlaps subscription stack</w:t>
            </w:r>
          </w:p>
        </w:tc>
      </w:tr>
      <w:tr>
        <w:tc>
          <w:tcPr>
            <w:tcW w:type="dxa" w:w="2400"/>
            <w:shd w:fill="EEF1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Loteria</w:t>
            </w:r>
          </w:p>
        </w:tc>
        <w:tc>
          <w:tcPr>
            <w:tcW w:type="dxa" w:w="1700"/>
            <w:shd w:fill="EEF1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6,455.10</w:t>
            </w:r>
          </w:p>
        </w:tc>
        <w:tc>
          <w:tcPr>
            <w:tcW w:type="dxa" w:w="1700"/>
            <w:shd w:fill="EEF1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17.3%</w:t>
            </w:r>
          </w:p>
        </w:tc>
        <w:tc>
          <w:tcPr>
            <w:tcW w:type="dxa" w:w="4640"/>
            <w:shd w:fill="EEF1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Review — 39 tx, no cap set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Outros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2,235.58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6.0%</w:t>
            </w:r>
          </w:p>
        </w:tc>
        <w:tc>
          <w:tcPr>
            <w:tcW w:type="dxa" w:w="46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Unclassified</w:t>
            </w:r>
          </w:p>
        </w:tc>
      </w:tr>
      <w:tr>
        <w:tc>
          <w:tcPr>
            <w:tcW w:type="dxa" w:w="2400"/>
            <w:shd w:fill="EEF1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Internet (Starlink)</w:t>
            </w:r>
          </w:p>
        </w:tc>
        <w:tc>
          <w:tcPr>
            <w:tcW w:type="dxa" w:w="1700"/>
            <w:shd w:fill="EEF1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1,413.12</w:t>
            </w:r>
          </w:p>
        </w:tc>
        <w:tc>
          <w:tcPr>
            <w:tcW w:type="dxa" w:w="1700"/>
            <w:shd w:fill="EEF1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3.8%</w:t>
            </w:r>
          </w:p>
        </w:tc>
        <w:tc>
          <w:tcPr>
            <w:tcW w:type="dxa" w:w="4640"/>
            <w:shd w:fill="EEF1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Essential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Assinatura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1,227.50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3.3%</w:t>
            </w:r>
          </w:p>
        </w:tc>
        <w:tc>
          <w:tcPr>
            <w:tcW w:type="dxa" w:w="46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Discretionary</w:t>
            </w:r>
          </w:p>
        </w:tc>
      </w:tr>
      <w:tr>
        <w:tc>
          <w:tcPr>
            <w:tcW w:type="dxa" w:w="2400"/>
            <w:shd w:fill="EEF1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Delivery/iFood</w:t>
            </w:r>
          </w:p>
        </w:tc>
        <w:tc>
          <w:tcPr>
            <w:tcW w:type="dxa" w:w="1700"/>
            <w:shd w:fill="EEF1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1,217.92</w:t>
            </w:r>
          </w:p>
        </w:tc>
        <w:tc>
          <w:tcPr>
            <w:tcW w:type="dxa" w:w="1700"/>
            <w:shd w:fill="EEF1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3.3%</w:t>
            </w:r>
          </w:p>
        </w:tc>
        <w:tc>
          <w:tcPr>
            <w:tcW w:type="dxa" w:w="4640"/>
            <w:shd w:fill="EEF1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Essential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Transporte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205.34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0.6%</w:t>
            </w:r>
          </w:p>
        </w:tc>
        <w:tc>
          <w:tcPr>
            <w:tcW w:type="dxa" w:w="46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Discretionary</w:t>
            </w:r>
          </w:p>
        </w:tc>
      </w:tr>
    </w:tbl>
    <w:p>
      <w:pPr>
        <w:spacing w:after="160"/>
      </w:pPr>
    </w:p>
    <w:p>
      <w:pPr>
        <w:spacing w:after="120"/>
      </w:pPr>
      <w:r>
        <w:rPr>
          <w:color w:val="222222"/>
          <w:sz w:val="21"/>
          <w:szCs w:val="21"/>
        </w:rPr>
        <w:t xml:space="preserve">Mercado Livre + iFood, itemized (Jan–Jun): R$31,570 across 69 orders, heavily weighted toward home-office and CPAP/health equipment (Resmed AirMini + accessories across 8+ separate orders), plus two large single items — Monitor Gamer AOC 49" (R$5,999) and a CPAP unit (R$4,981, delivered) with a second CPAP unit (R$4,953) marked failed/not delivered and worth a refund follow-up.</w:t>
      </w:r>
    </w:p>
    <w:p>
      <w:pPr>
        <w:pStyle w:val="Heading1"/>
        <w:pBdr>
          <w:bottom w:val="single" w:color="1A2B4C" w:sz="8" w:space="4"/>
        </w:pBdr>
        <w:spacing w:after="160" w:before="360"/>
      </w:pPr>
      <w:r>
        <w:rPr>
          <w:b/>
          <w:bCs/>
          <w:color w:val="1A2B4C"/>
          <w:sz w:val="26"/>
          <w:szCs w:val="26"/>
        </w:rPr>
        <w:t xml:space="preserve">6 · Subscription Stack</w:t>
      </w:r>
    </w:p>
    <w:p>
      <w:pPr>
        <w:spacing w:after="120"/>
      </w:pPr>
      <w:r>
        <w:rPr>
          <w:color w:val="222222"/>
          <w:sz w:val="21"/>
          <w:szCs w:val="21"/>
        </w:rPr>
        <w:t xml:space="preserve">15 services, R$1,344.54/mo (R$16,134/yr) combined. Decision split, per the most current source (wealthcommand.xlsx · CALC, built 14 Jul 2026):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2580"/>
        <w:gridCol w:w="2580"/>
        <w:gridCol w:w="2380"/>
      </w:tblGrid>
      <w:tr>
        <w:trPr>
          <w:tblHeader/>
        </w:trPr>
        <w:tc>
          <w:tcPr>
            <w:tcW w:type="dxa" w:w="2900"/>
            <w:shd w:fill="1A2B4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Decision</w:t>
            </w:r>
          </w:p>
        </w:tc>
        <w:tc>
          <w:tcPr>
            <w:tcW w:type="dxa" w:w="2580"/>
            <w:shd w:fill="1A2B4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Services</w:t>
            </w:r>
          </w:p>
        </w:tc>
        <w:tc>
          <w:tcPr>
            <w:tcW w:type="dxa" w:w="2580"/>
            <w:shd w:fill="1A2B4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Monthly (R$)</w:t>
            </w:r>
          </w:p>
        </w:tc>
        <w:tc>
          <w:tcPr>
            <w:tcW w:type="dxa" w:w="2380"/>
            <w:shd w:fill="1A2B4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Annual (R$)</w:t>
            </w:r>
          </w:p>
        </w:tc>
      </w:tr>
      <w:tr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CANCEL</w:t>
            </w:r>
          </w:p>
        </w:tc>
        <w:tc>
          <w:tcPr>
            <w:tcW w:type="dxa" w:w="25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4</w:t>
            </w:r>
          </w:p>
        </w:tc>
        <w:tc>
          <w:tcPr>
            <w:tcW w:type="dxa" w:w="25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365.80</w:t>
            </w:r>
          </w:p>
        </w:tc>
        <w:tc>
          <w:tcPr>
            <w:tcW w:type="dxa" w:w="23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4,389.60</w:t>
            </w:r>
          </w:p>
        </w:tc>
      </w:tr>
      <w:tr>
        <w:tc>
          <w:tcPr>
            <w:tcW w:type="dxa" w:w="2900"/>
            <w:shd w:fill="EEF1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KEEP</w:t>
            </w:r>
          </w:p>
        </w:tc>
        <w:tc>
          <w:tcPr>
            <w:tcW w:type="dxa" w:w="2580"/>
            <w:shd w:fill="EEF1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4</w:t>
            </w:r>
          </w:p>
        </w:tc>
        <w:tc>
          <w:tcPr>
            <w:tcW w:type="dxa" w:w="2580"/>
            <w:shd w:fill="EEF1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331.80</w:t>
            </w:r>
          </w:p>
        </w:tc>
        <w:tc>
          <w:tcPr>
            <w:tcW w:type="dxa" w:w="2380"/>
            <w:shd w:fill="EEF1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3,981.60</w:t>
            </w:r>
          </w:p>
        </w:tc>
      </w:tr>
      <w:tr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REVIEW</w:t>
            </w:r>
          </w:p>
        </w:tc>
        <w:tc>
          <w:tcPr>
            <w:tcW w:type="dxa" w:w="25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7</w:t>
            </w:r>
          </w:p>
        </w:tc>
        <w:tc>
          <w:tcPr>
            <w:tcW w:type="dxa" w:w="25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646.94</w:t>
            </w:r>
          </w:p>
        </w:tc>
        <w:tc>
          <w:tcPr>
            <w:tcW w:type="dxa" w:w="23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7,763.28</w:t>
            </w:r>
          </w:p>
        </w:tc>
      </w:tr>
    </w:tbl>
    <w:p>
      <w:pPr>
        <w:spacing w:after="160"/>
      </w:pP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700"/>
        <w:gridCol w:w="1500"/>
        <w:gridCol w:w="4640"/>
      </w:tblGrid>
      <w:tr>
        <w:trPr>
          <w:tblHeader/>
        </w:trPr>
        <w:tc>
          <w:tcPr>
            <w:tcW w:type="dxa" w:w="2600"/>
            <w:shd w:fill="1A2B4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Service</w:t>
            </w:r>
          </w:p>
        </w:tc>
        <w:tc>
          <w:tcPr>
            <w:tcW w:type="dxa" w:w="1700"/>
            <w:shd w:fill="1A2B4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Monthly (R$)</w:t>
            </w:r>
          </w:p>
        </w:tc>
        <w:tc>
          <w:tcPr>
            <w:tcW w:type="dxa" w:w="1500"/>
            <w:shd w:fill="1A2B4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Decision</w:t>
            </w:r>
          </w:p>
        </w:tc>
        <w:tc>
          <w:tcPr>
            <w:tcW w:type="dxa" w:w="4640"/>
            <w:shd w:fill="1A2B4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Note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Claude Pro (account 1)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92.00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CANCEL</w:t>
            </w:r>
          </w:p>
        </w:tc>
        <w:tc>
          <w:tcPr>
            <w:tcW w:type="dxa" w:w="46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Duplicate of account 2</w:t>
            </w:r>
          </w:p>
        </w:tc>
      </w:tr>
      <w:tr>
        <w:tc>
          <w:tcPr>
            <w:tcW w:type="dxa" w:w="2600"/>
            <w:shd w:fill="EEF1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Claude Pro (account 2)</w:t>
            </w:r>
          </w:p>
        </w:tc>
        <w:tc>
          <w:tcPr>
            <w:tcW w:type="dxa" w:w="1700"/>
            <w:shd w:fill="EEF1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92.00</w:t>
            </w:r>
          </w:p>
        </w:tc>
        <w:tc>
          <w:tcPr>
            <w:tcW w:type="dxa" w:w="1500"/>
            <w:shd w:fill="EEF1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CANCEL</w:t>
            </w:r>
          </w:p>
        </w:tc>
        <w:tc>
          <w:tcPr>
            <w:tcW w:type="dxa" w:w="4640"/>
            <w:shd w:fill="EEF1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Duplicate of account 1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Grok / SuperGrok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149.90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CANCEL</w:t>
            </w:r>
          </w:p>
        </w:tc>
        <w:tc>
          <w:tcPr>
            <w:tcW w:type="dxa" w:w="46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High overlap w/ ChatGPT, Claude, Perplexity</w:t>
            </w:r>
          </w:p>
        </w:tc>
      </w:tr>
      <w:tr>
        <w:tc>
          <w:tcPr>
            <w:tcW w:type="dxa" w:w="2600"/>
            <w:shd w:fill="EEF1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TuneIn Radio</w:t>
            </w:r>
          </w:p>
        </w:tc>
        <w:tc>
          <w:tcPr>
            <w:tcW w:type="dxa" w:w="1700"/>
            <w:shd w:fill="EEF1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31.90</w:t>
            </w:r>
          </w:p>
        </w:tc>
        <w:tc>
          <w:tcPr>
            <w:tcW w:type="dxa" w:w="1500"/>
            <w:shd w:fill="EEF1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CANCEL</w:t>
            </w:r>
          </w:p>
        </w:tc>
        <w:tc>
          <w:tcPr>
            <w:tcW w:type="dxa" w:w="4640"/>
            <w:shd w:fill="EEF1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Non-essential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ChatGPT Plus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106.00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KEEP</w:t>
            </w:r>
          </w:p>
        </w:tc>
        <w:tc>
          <w:tcPr>
            <w:tcW w:type="dxa" w:w="46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Primary assistant</w:t>
            </w:r>
          </w:p>
        </w:tc>
      </w:tr>
      <w:tr>
        <w:tc>
          <w:tcPr>
            <w:tcW w:type="dxa" w:w="2600"/>
            <w:shd w:fill="EEF1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Cursor Pro</w:t>
            </w:r>
          </w:p>
        </w:tc>
        <w:tc>
          <w:tcPr>
            <w:tcW w:type="dxa" w:w="1700"/>
            <w:shd w:fill="EEF1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106.00</w:t>
            </w:r>
          </w:p>
        </w:tc>
        <w:tc>
          <w:tcPr>
            <w:tcW w:type="dxa" w:w="1500"/>
            <w:shd w:fill="EEF1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KEEP</w:t>
            </w:r>
          </w:p>
        </w:tc>
        <w:tc>
          <w:tcPr>
            <w:tcW w:type="dxa" w:w="4640"/>
            <w:shd w:fill="EEF1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Primary coding tool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Perplexity Pro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99.90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KEEP</w:t>
            </w:r>
          </w:p>
        </w:tc>
        <w:tc>
          <w:tcPr>
            <w:tcW w:type="dxa" w:w="46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Research assistant</w:t>
            </w:r>
          </w:p>
        </w:tc>
      </w:tr>
      <w:tr>
        <w:tc>
          <w:tcPr>
            <w:tcW w:type="dxa" w:w="2600"/>
            <w:shd w:fill="EEF1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iCloud+ 200GB</w:t>
            </w:r>
          </w:p>
        </w:tc>
        <w:tc>
          <w:tcPr>
            <w:tcW w:type="dxa" w:w="1700"/>
            <w:shd w:fill="EEF1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19.90</w:t>
            </w:r>
          </w:p>
        </w:tc>
        <w:tc>
          <w:tcPr>
            <w:tcW w:type="dxa" w:w="1500"/>
            <w:shd w:fill="EEF1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KEEP</w:t>
            </w:r>
          </w:p>
        </w:tc>
        <w:tc>
          <w:tcPr>
            <w:tcW w:type="dxa" w:w="4640"/>
            <w:shd w:fill="EEF1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Low-cost storage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Manus (credits)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418.43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REVIEW</w:t>
            </w:r>
          </w:p>
        </w:tc>
        <w:tc>
          <w:tcPr>
            <w:tcW w:type="dxa" w:w="46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Largest single review item — R$5,021/yr</w:t>
            </w:r>
          </w:p>
        </w:tc>
      </w:tr>
      <w:tr>
        <w:tc>
          <w:tcPr>
            <w:tcW w:type="dxa" w:w="2600"/>
            <w:shd w:fill="EEF1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Google Pro</w:t>
            </w:r>
          </w:p>
        </w:tc>
        <w:tc>
          <w:tcPr>
            <w:tcW w:type="dxa" w:w="1700"/>
            <w:shd w:fill="EEF1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96.99</w:t>
            </w:r>
          </w:p>
        </w:tc>
        <w:tc>
          <w:tcPr>
            <w:tcW w:type="dxa" w:w="1500"/>
            <w:shd w:fill="EEF1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REVIEW</w:t>
            </w:r>
          </w:p>
        </w:tc>
        <w:tc>
          <w:tcPr>
            <w:tcW w:type="dxa" w:w="4640"/>
            <w:shd w:fill="EEF1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High overlap w/ ChatGPT/Claude/Grok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Microsoft 365 Personal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42.42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REVIEW</w:t>
            </w:r>
          </w:p>
        </w:tc>
        <w:tc>
          <w:tcPr>
            <w:tcW w:type="dxa" w:w="46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Annual, already paid — decide before Jun 2027</w:t>
            </w:r>
          </w:p>
        </w:tc>
      </w:tr>
      <w:tr>
        <w:tc>
          <w:tcPr>
            <w:tcW w:type="dxa" w:w="2600"/>
            <w:shd w:fill="EEF1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Desktop Commander</w:t>
            </w:r>
          </w:p>
        </w:tc>
        <w:tc>
          <w:tcPr>
            <w:tcW w:type="dxa" w:w="1700"/>
            <w:shd w:fill="EEF1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45.37</w:t>
            </w:r>
          </w:p>
        </w:tc>
        <w:tc>
          <w:tcPr>
            <w:tcW w:type="dxa" w:w="1500"/>
            <w:shd w:fill="EEF1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REVIEW</w:t>
            </w:r>
          </w:p>
        </w:tc>
        <w:tc>
          <w:tcPr>
            <w:tcW w:type="dxa" w:w="4640"/>
            <w:shd w:fill="EEF1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Unclear active usage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NordVPN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28.33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REVIEW</w:t>
            </w:r>
          </w:p>
        </w:tc>
        <w:tc>
          <w:tcPr>
            <w:tcW w:type="dxa" w:w="46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Keep only if actively used</w:t>
            </w:r>
          </w:p>
        </w:tc>
      </w:tr>
      <w:tr>
        <w:tc>
          <w:tcPr>
            <w:tcW w:type="dxa" w:w="2600"/>
            <w:shd w:fill="EEF1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Filmora9</w:t>
            </w:r>
          </w:p>
        </w:tc>
        <w:tc>
          <w:tcPr>
            <w:tcW w:type="dxa" w:w="1700"/>
            <w:shd w:fill="EEF1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15.41</w:t>
            </w:r>
          </w:p>
        </w:tc>
        <w:tc>
          <w:tcPr>
            <w:tcW w:type="dxa" w:w="1500"/>
            <w:shd w:fill="EEF1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REVIEW</w:t>
            </w:r>
          </w:p>
        </w:tc>
        <w:tc>
          <w:tcPr>
            <w:tcW w:type="dxa" w:w="4640"/>
            <w:shd w:fill="EEF1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Annual — assess before renewal</w:t>
            </w:r>
          </w:p>
        </w:tc>
      </w:tr>
    </w:tbl>
    <w:p>
      <w:pPr>
        <w:pStyle w:val="Heading1"/>
        <w:pBdr>
          <w:bottom w:val="single" w:color="1A2B4C" w:sz="8" w:space="4"/>
        </w:pBdr>
        <w:spacing w:after="160" w:before="360"/>
      </w:pPr>
      <w:r>
        <w:rPr>
          <w:b/>
          <w:bCs/>
          <w:color w:val="1A2B4C"/>
          <w:sz w:val="26"/>
          <w:szCs w:val="26"/>
        </w:rPr>
        <w:t xml:space="preserve">7 · Risk &amp; Action Register</w:t>
      </w:r>
    </w:p>
    <w:p>
      <w:pPr>
        <w:spacing w:after="120"/>
      </w:pPr>
      <w:r>
        <w:rPr>
          <w:color w:val="222222"/>
          <w:sz w:val="21"/>
          <w:szCs w:val="21"/>
        </w:rPr>
        <w:t xml:space="preserve">From wealthcommand.xlsx · 08 ALERTS, prioritized. All 12 items are still marked Pending as of this report.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0"/>
        <w:gridCol w:w="1350"/>
        <w:gridCol w:w="5900"/>
        <w:gridCol w:w="2540"/>
      </w:tblGrid>
      <w:tr>
        <w:trPr>
          <w:tblHeader/>
        </w:trPr>
        <w:tc>
          <w:tcPr>
            <w:tcW w:type="dxa" w:w="650"/>
            <w:shd w:fill="1A2B4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350"/>
            <w:shd w:fill="1A2B4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Sev.</w:t>
            </w:r>
          </w:p>
        </w:tc>
        <w:tc>
          <w:tcPr>
            <w:tcW w:type="dxa" w:w="5900"/>
            <w:shd w:fill="1A2B4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Finding</w:t>
            </w:r>
          </w:p>
        </w:tc>
        <w:tc>
          <w:tcPr>
            <w:tcW w:type="dxa" w:w="2540"/>
            <w:shd w:fill="1A2B4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Exposure (R$)</w:t>
            </w:r>
          </w:p>
        </w:tc>
      </w:tr>
      <w:tr>
        <w:tc>
          <w:tcPr>
            <w:tcW w:type="dxa" w:w="6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1</w:t>
            </w:r>
          </w:p>
        </w:tc>
        <w:tc>
          <w:tcPr>
            <w:tcW w:type="dxa" w:w="1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CRITICAL</w:t>
            </w:r>
          </w:p>
        </w:tc>
        <w:tc>
          <w:tcPr>
            <w:tcW w:type="dxa" w:w="5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4 subscriptions flagged CANCEL still active</w:t>
            </w:r>
          </w:p>
        </w:tc>
        <w:tc>
          <w:tcPr>
            <w:tcW w:type="dxa" w:w="25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365.80/mo</w:t>
            </w:r>
          </w:p>
        </w:tc>
      </w:tr>
      <w:tr>
        <w:tc>
          <w:tcPr>
            <w:tcW w:type="dxa" w:w="650"/>
            <w:shd w:fill="EEF1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2</w:t>
            </w:r>
          </w:p>
        </w:tc>
        <w:tc>
          <w:tcPr>
            <w:tcW w:type="dxa" w:w="1350"/>
            <w:shd w:fill="EEF1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CRITICAL</w:t>
            </w:r>
          </w:p>
        </w:tc>
        <w:tc>
          <w:tcPr>
            <w:tcW w:type="dxa" w:w="5900"/>
            <w:shd w:fill="EEF1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R$652,789 sent to USA own account — unreconciled against destination balance (22 ops)</w:t>
            </w:r>
          </w:p>
        </w:tc>
        <w:tc>
          <w:tcPr>
            <w:tcW w:type="dxa" w:w="2540"/>
            <w:shd w:fill="EEF1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652,788.61</w:t>
            </w:r>
          </w:p>
        </w:tc>
      </w:tr>
      <w:tr>
        <w:tc>
          <w:tcPr>
            <w:tcW w:type="dxa" w:w="6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3</w:t>
            </w:r>
          </w:p>
        </w:tc>
        <w:tc>
          <w:tcPr>
            <w:tcW w:type="dxa" w:w="1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CRITICAL</w:t>
            </w:r>
          </w:p>
        </w:tc>
        <w:tc>
          <w:tcPr>
            <w:tcW w:type="dxa" w:w="5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7 REVIEW subscriptions undecided</w:t>
            </w:r>
          </w:p>
        </w:tc>
        <w:tc>
          <w:tcPr>
            <w:tcW w:type="dxa" w:w="25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646.94/mo</w:t>
            </w:r>
          </w:p>
        </w:tc>
      </w:tr>
      <w:tr>
        <w:tc>
          <w:tcPr>
            <w:tcW w:type="dxa" w:w="650"/>
            <w:shd w:fill="EEF1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4</w:t>
            </w:r>
          </w:p>
        </w:tc>
        <w:tc>
          <w:tcPr>
            <w:tcW w:type="dxa" w:w="1350"/>
            <w:shd w:fill="EEF1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HIGH</w:t>
            </w:r>
          </w:p>
        </w:tc>
        <w:tc>
          <w:tcPr>
            <w:tcW w:type="dxa" w:w="5900"/>
            <w:shd w:fill="EEF1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100% of liquid assets in 2 digital banks; BB Brasil at R$0</w:t>
            </w:r>
          </w:p>
        </w:tc>
        <w:tc>
          <w:tcPr>
            <w:tcW w:type="dxa" w:w="2540"/>
            <w:shd w:fill="EEF1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23,196.90</w:t>
            </w:r>
          </w:p>
        </w:tc>
      </w:tr>
      <w:tr>
        <w:tc>
          <w:tcPr>
            <w:tcW w:type="dxa" w:w="6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5</w:t>
            </w:r>
          </w:p>
        </w:tc>
        <w:tc>
          <w:tcPr>
            <w:tcW w:type="dxa" w:w="1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HIGH</w:t>
            </w:r>
          </w:p>
        </w:tc>
        <w:tc>
          <w:tcPr>
            <w:tcW w:type="dxa" w:w="5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IB withdrawal destination unconfirmed (drives net-worth gap, Section 1)</w:t>
            </w:r>
          </w:p>
        </w:tc>
        <w:tc>
          <w:tcPr>
            <w:tcW w:type="dxa" w:w="25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19,195.81</w:t>
            </w:r>
          </w:p>
        </w:tc>
      </w:tr>
      <w:tr>
        <w:tc>
          <w:tcPr>
            <w:tcW w:type="dxa" w:w="650"/>
            <w:shd w:fill="EEF1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6</w:t>
            </w:r>
          </w:p>
        </w:tc>
        <w:tc>
          <w:tcPr>
            <w:tcW w:type="dxa" w:w="1350"/>
            <w:shd w:fill="EEF1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HIGH</w:t>
            </w:r>
          </w:p>
        </w:tc>
        <w:tc>
          <w:tcPr>
            <w:tcW w:type="dxa" w:w="5900"/>
            <w:shd w:fill="EEF1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Loteria spend, 39 tx, no budget cap</w:t>
            </w:r>
          </w:p>
        </w:tc>
        <w:tc>
          <w:tcPr>
            <w:tcW w:type="dxa" w:w="2540"/>
            <w:shd w:fill="EEF1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6,455.10</w:t>
            </w:r>
          </w:p>
        </w:tc>
      </w:tr>
      <w:tr>
        <w:tc>
          <w:tcPr>
            <w:tcW w:type="dxa" w:w="6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7</w:t>
            </w:r>
          </w:p>
        </w:tc>
        <w:tc>
          <w:tcPr>
            <w:tcW w:type="dxa" w:w="1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MEDIUM</w:t>
            </w:r>
          </w:p>
        </w:tc>
        <w:tc>
          <w:tcPr>
            <w:tcW w:type="dxa" w:w="5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AI/tech card charges duplicate the tracked subscription stack</w:t>
            </w:r>
          </w:p>
        </w:tc>
        <w:tc>
          <w:tcPr>
            <w:tcW w:type="dxa" w:w="25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6,624.36</w:t>
            </w:r>
          </w:p>
        </w:tc>
      </w:tr>
      <w:tr>
        <w:tc>
          <w:tcPr>
            <w:tcW w:type="dxa" w:w="650"/>
            <w:shd w:fill="EEF1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8</w:t>
            </w:r>
          </w:p>
        </w:tc>
        <w:tc>
          <w:tcPr>
            <w:tcW w:type="dxa" w:w="1350"/>
            <w:shd w:fill="EEF1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MEDIUM</w:t>
            </w:r>
          </w:p>
        </w:tc>
        <w:tc>
          <w:tcPr>
            <w:tcW w:type="dxa" w:w="5900"/>
            <w:shd w:fill="EEF1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Travel spend not classified business vs. personal</w:t>
            </w:r>
          </w:p>
        </w:tc>
        <w:tc>
          <w:tcPr>
            <w:tcW w:type="dxa" w:w="2540"/>
            <w:shd w:fill="EEF1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9,036.83</w:t>
            </w:r>
          </w:p>
        </w:tc>
      </w:tr>
      <w:tr>
        <w:tc>
          <w:tcPr>
            <w:tcW w:type="dxa" w:w="6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9</w:t>
            </w:r>
          </w:p>
        </w:tc>
        <w:tc>
          <w:tcPr>
            <w:tcW w:type="dxa" w:w="1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MEDIUM</w:t>
            </w:r>
          </w:p>
        </w:tc>
        <w:tc>
          <w:tcPr>
            <w:tcW w:type="dxa" w:w="5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69 Mercado Livre items — no CAPEX/health/consumable tax tagging</w:t>
            </w:r>
          </w:p>
        </w:tc>
        <w:tc>
          <w:tcPr>
            <w:tcW w:type="dxa" w:w="25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31,570.45</w:t>
            </w:r>
          </w:p>
        </w:tc>
      </w:tr>
      <w:tr>
        <w:tc>
          <w:tcPr>
            <w:tcW w:type="dxa" w:w="650"/>
            <w:shd w:fill="EEF1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10</w:t>
            </w:r>
          </w:p>
        </w:tc>
        <w:tc>
          <w:tcPr>
            <w:tcW w:type="dxa" w:w="1350"/>
            <w:shd w:fill="EEF1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LOW</w:t>
            </w:r>
          </w:p>
        </w:tc>
        <w:tc>
          <w:tcPr>
            <w:tcW w:type="dxa" w:w="5900"/>
            <w:shd w:fill="EEF1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R$45,000 PIX to SBCT Tech Solutions LLC (USA) — nature undocumented</w:t>
            </w:r>
          </w:p>
        </w:tc>
        <w:tc>
          <w:tcPr>
            <w:tcW w:type="dxa" w:w="2540"/>
            <w:shd w:fill="EEF1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45,000.00</w:t>
            </w:r>
          </w:p>
        </w:tc>
      </w:tr>
    </w:tbl>
    <w:p>
      <w:pPr>
        <w:pStyle w:val="Heading1"/>
        <w:pBdr>
          <w:bottom w:val="single" w:color="1A2B4C" w:sz="8" w:space="4"/>
        </w:pBdr>
        <w:spacing w:after="160" w:before="360"/>
      </w:pPr>
      <w:r>
        <w:rPr>
          <w:b/>
          <w:bCs/>
          <w:color w:val="1A2B4C"/>
          <w:sz w:val="26"/>
          <w:szCs w:val="26"/>
        </w:rPr>
        <w:t xml:space="preserve">8 · Data Quality &amp; Reconciliation Notes</w:t>
      </w:r>
    </w:p>
    <w:p>
      <w:pPr>
        <w:spacing w:after="120"/>
      </w:pPr>
      <w:r>
        <w:rPr>
          <w:color w:val="222222"/>
          <w:sz w:val="21"/>
          <w:szCs w:val="21"/>
        </w:rPr>
        <w:t xml:space="preserve">Three tracking files have drifted apart. None of this changes the underlying transactions — it's the aggregation layer that disagrees. Worth fixing before adding any more tooling: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1"/>
          <w:szCs w:val="21"/>
        </w:rPr>
        <w:t xml:space="preserve">Net worth split: </w:t>
      </w:r>
      <w:r>
        <w:rPr>
          <w:sz w:val="21"/>
          <w:szCs w:val="21"/>
        </w:rPr>
        <w:t xml:space="preserve">wealthcommand.xlsx reports R$377,473 (CALC tab) vs. R$358,278 (01 NET WORTH tab) — a R$19,196 gap that traces to how the June IB withdrawal via Wise is treated. Confirm where that money landed before trusting either number.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1"/>
          <w:szCs w:val="21"/>
        </w:rPr>
        <w:t xml:space="preserve">Portfolio tab double-counts the withdrawal: </w:t>
      </w:r>
      <w:r>
        <w:rPr>
          <w:sz w:val="21"/>
          <w:szCs w:val="21"/>
        </w:rPr>
        <w:t xml:space="preserve">04 PORTFOLIO sums the June IB withdrawal as a positive deposit rather than netting it out, inflating the "IB Total" line by roughly R$38k.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1"/>
          <w:szCs w:val="21"/>
        </w:rPr>
        <w:t xml:space="preserve">06 SUBSCRIPTION MGR tab is broken: </w:t>
      </w:r>
      <w:r>
        <w:rPr>
          <w:sz w:val="21"/>
          <w:szCs w:val="21"/>
        </w:rPr>
        <w:t xml:space="preserve">every total on that tab reads zero (formula references didn't resolve). The CALC tab has the correct live figures and is what this report uses.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1"/>
          <w:szCs w:val="21"/>
        </w:rPr>
        <w:t xml:space="preserve">Subscription totals are stale between files: </w:t>
      </w:r>
      <w:r>
        <w:rPr>
          <w:sz w:val="21"/>
          <w:szCs w:val="21"/>
        </w:rPr>
        <w:t xml:space="preserve">subscription-budget-2026.xlsx's Dashboard tab shows REVIEW = R$183/mo; wealthcommand.xlsx's CALC tab shows R$647/mo. The gap is Manus AI's real cost (R$418/mo), missed in the earlier file. Treat wealthcommand.xlsx as the source of truth going forward — it says so itself.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1"/>
          <w:szCs w:val="21"/>
        </w:rPr>
        <w:t xml:space="preserve">The budget model overstates "overspend": </w:t>
      </w:r>
      <w:r>
        <w:rPr>
          <w:sz w:val="21"/>
          <w:szCs w:val="21"/>
        </w:rPr>
        <w:t xml:space="preserve">financeai-tracker.xlsx books FX self-transfers as consumption against an R$8,000/mo "Financeiro" budget, blowing it by 300%–4,000% every single month and producing an apparent H1 loss (Income R$756,161 vs. Expenses R$782,197 = −R$26,035) and a −3.4% savings rate. Moving money to your own account isn't spending — net worth over the same period is positive (Section 1). Recommend excluding self-transfers/investment moves from the consumption budget.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1"/>
          <w:szCs w:val="21"/>
        </w:rPr>
        <w:t xml:space="preserve">Duplicate statement files: </w:t>
      </w:r>
      <w:r>
        <w:rPr>
          <w:sz w:val="21"/>
          <w:szCs w:val="21"/>
        </w:rPr>
        <w:t xml:space="preserve">already caught and flagged DROP by the workbook's own dedup audit (2 exact + 1 logical duplicate) — no action needed.</w:t>
      </w:r>
    </w:p>
    <w:p>
      <w:pPr>
        <w:pStyle w:val="Heading1"/>
        <w:pBdr>
          <w:bottom w:val="single" w:color="1A2B4C" w:sz="8" w:space="4"/>
        </w:pBdr>
        <w:spacing w:after="160" w:before="360"/>
      </w:pPr>
      <w:r>
        <w:rPr>
          <w:b/>
          <w:bCs/>
          <w:color w:val="1A2B4C"/>
          <w:sz w:val="26"/>
          <w:szCs w:val="26"/>
        </w:rPr>
        <w:t xml:space="preserve">9 · Recommended Actions</w:t>
      </w:r>
    </w:p>
    <w:p>
      <w:pPr>
        <w:spacing w:after="120"/>
      </w:pPr>
      <w:r>
        <w:rPr>
          <w:color w:val="222222"/>
          <w:sz w:val="21"/>
          <w:szCs w:val="21"/>
        </w:rPr>
        <w:t xml:space="preserve">Kept short on purpose — fix these before touching the dashboards again.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b/>
          <w:bCs/>
          <w:sz w:val="21"/>
          <w:szCs w:val="21"/>
        </w:rPr>
        <w:t xml:space="preserve">Cancel the 4 flagged subscriptions this week </w:t>
      </w:r>
      <w:r>
        <w:rPr>
          <w:sz w:val="21"/>
          <w:szCs w:val="21"/>
        </w:rPr>
        <w:t xml:space="preserve">— duplicate Claude Pro seat, Grok, TuneIn. Zero-effort, R$4,390/yr.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b/>
          <w:bCs/>
          <w:sz w:val="21"/>
          <w:szCs w:val="21"/>
        </w:rPr>
        <w:t xml:space="preserve">Decide the 7 REVIEW subscriptions </w:t>
      </w:r>
      <w:r>
        <w:rPr>
          <w:sz w:val="21"/>
          <w:szCs w:val="21"/>
        </w:rPr>
        <w:t xml:space="preserve">by the internal August 2026 deadline already set. Start with Manus (R$418/mo, R$5,021/yr) — the single biggest line.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b/>
          <w:bCs/>
          <w:sz w:val="21"/>
          <w:szCs w:val="21"/>
        </w:rPr>
        <w:t xml:space="preserve">Confirm where the R$19,196 IB withdrawal landed. </w:t>
      </w:r>
      <w:r>
        <w:rPr>
          <w:sz w:val="21"/>
          <w:szCs w:val="21"/>
        </w:rPr>
        <w:t xml:space="preserve">This one fact resolves the net-worth discrepancy in Section 1.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b/>
          <w:bCs/>
          <w:sz w:val="21"/>
          <w:szCs w:val="21"/>
        </w:rPr>
        <w:t xml:space="preserve">Set a hard Loteria cap </w:t>
      </w:r>
      <w:r>
        <w:rPr>
          <w:sz w:val="21"/>
          <w:szCs w:val="21"/>
        </w:rPr>
        <w:t xml:space="preserve">(e.g. R$0, or a fixed monthly ceiling) — 39 transactions in H1 with no limit in place.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b/>
          <w:bCs/>
          <w:sz w:val="21"/>
          <w:szCs w:val="21"/>
        </w:rPr>
        <w:t xml:space="preserve">Rebuild the BB Brasil balance </w:t>
      </w:r>
      <w:r>
        <w:rPr>
          <w:sz w:val="21"/>
          <w:szCs w:val="21"/>
        </w:rPr>
        <w:t xml:space="preserve">as a second liquidity rail — Inter + MP currently hold 100% of a thin R$23,197 buffer.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b/>
          <w:bCs/>
          <w:sz w:val="21"/>
          <w:szCs w:val="21"/>
        </w:rPr>
        <w:t xml:space="preserve">Reconcile the R$652,789 in FX self-transfers </w:t>
      </w:r>
      <w:r>
        <w:rPr>
          <w:sz w:val="21"/>
          <w:szCs w:val="21"/>
        </w:rPr>
        <w:t xml:space="preserve">against the actual USD account statement — the largest unverified figure in the workspace.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b/>
          <w:bCs/>
          <w:sz w:val="21"/>
          <w:szCs w:val="21"/>
        </w:rPr>
        <w:t xml:space="preserve">Freeze new tooling until 1–6 are done. </w:t>
      </w:r>
      <w:r>
        <w:rPr>
          <w:sz w:val="21"/>
          <w:szCs w:val="21"/>
        </w:rPr>
        <w:t xml:space="preserve">Three spreadsheets already disagree with each other on subscription and net-worth totals; adding a fourth (or the planned Swift/Vision native app) before reconciling the numbers will only compound the drift. LEIA-ME.md's own Phase 2 criteria agree with this — go native only once the manual weekly cycle is stable.</w:t>
      </w:r>
    </w:p>
    <w:p>
      <w:pPr>
        <w:spacing w:after="200"/>
      </w:pPr>
    </w:p>
    <w:p>
      <w:pPr>
        <w:pBdr>
          <w:top w:val="single" w:color="CCCCCC" w:sz="4" w:space="8"/>
        </w:pBdr>
        <w:spacing w:before="200"/>
      </w:pPr>
      <w:r>
        <w:rPr>
          <w:i/>
          <w:iCs/>
          <w:color w:val="5A5A5A"/>
          <w:sz w:val="16"/>
          <w:szCs w:val="16"/>
        </w:rPr>
        <w:t xml:space="preserve">Sources: financeai-tracker.xlsx, subscription-budget-2026.xlsx, wealthcommand.xlsx, README.md, LEIA-ME.md — all tabs read in full. Raw bank statements, PDFs, receipts and screenshots under raw/ back these workbooks and were not individually re-audited; the reconciliation gaps above are the items worth checking against them first.</w:t>
      </w:r>
    </w:p>
    <w:sectPr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2026-08-31T00:28:05.403Z</dcterms:created>
  <dcterms:modified xsi:type="dcterms:W3CDTF">2026-08-31T00:28:05.404Z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