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W w:w="9750" w:type="dxa"/>
        <w:jc w:val="center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firstRow="1" w:noVBand="1" w:lastRow="0" w:firstColumn="1" w:lastColumn="0" w:noHBand="0" w:val="04a0"/>
      </w:tblPr>
      <w:tblGrid>
        <w:gridCol w:w="9750"/>
      </w:tblGrid>
      <w:tr>
        <w:trPr>
          <w:trHeight w:val="1215" w:hRule="atLeast"/>
          <w:cantSplit w:val="true"/>
        </w:trPr>
        <w:tc>
          <w:tcPr>
            <w:tcW w:w="9750" w:type="dxa"/>
            <w:tcBorders/>
          </w:tcPr>
          <w:p>
            <w:pPr>
              <w:pStyle w:val="Normal"/>
              <w:spacing w:lineRule="atLeast" w:line="240" w:before="0" w:after="160"/>
              <w:jc w:val="center"/>
              <w:rPr>
                <w:caps/>
              </w:rPr>
            </w:pPr>
            <w:r>
              <w:rPr/>
              <w:drawing>
                <wp:inline distT="0" distB="0" distL="0" distR="0">
                  <wp:extent cx="893445" cy="1004570"/>
                  <wp:effectExtent l="0" t="0" r="0" b="0"/>
                  <wp:docPr id="1" name="Рисунок 1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3445" cy="1004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38" w:hRule="atLeast"/>
          <w:cantSplit w:val="true"/>
        </w:trPr>
        <w:tc>
          <w:tcPr>
            <w:tcW w:w="9750" w:type="dxa"/>
            <w:tcBorders/>
          </w:tcPr>
          <w:p>
            <w:pPr>
              <w:pStyle w:val="Normal"/>
              <w:spacing w:lineRule="exact" w:line="60"/>
              <w:jc w:val="center"/>
              <w:rPr>
                <w:caps/>
                <w:lang w:val="en-US"/>
              </w:rPr>
            </w:pPr>
            <w:r>
              <w:rPr>
                <w:caps/>
                <w:lang w:val="en-US"/>
              </w:rPr>
            </w:r>
          </w:p>
          <w:p>
            <w:pPr>
              <w:pStyle w:val="Normal"/>
              <w:spacing w:lineRule="atLeast" w:line="240" w:before="0" w:after="160"/>
              <w:jc w:val="center"/>
              <w:rPr>
                <w:caps/>
                <w:sz w:val="24"/>
                <w:szCs w:val="24"/>
              </w:rPr>
            </w:pPr>
            <w:r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>
        <w:trPr>
          <w:trHeight w:val="1852" w:hRule="atLeast"/>
          <w:cantSplit w:val="true"/>
        </w:trPr>
        <w:tc>
          <w:tcPr>
            <w:tcW w:w="9750" w:type="dxa"/>
            <w:tcBorders/>
          </w:tcPr>
          <w:p>
            <w:pPr>
              <w:pStyle w:val="BodyText"/>
              <w:spacing w:lineRule="exact" w:line="80"/>
              <w:rPr>
                <w:b w:val="false"/>
                <w:szCs w:val="24"/>
                <w:lang w:eastAsia="en-US"/>
              </w:rPr>
            </w:pPr>
            <w:r>
              <w:rPr>
                <w:b w:val="false"/>
                <w:szCs w:val="24"/>
                <w:lang w:eastAsia="en-US"/>
              </w:rPr>
            </w:r>
          </w:p>
          <w:p>
            <w:pPr>
              <w:pStyle w:val="Normal"/>
              <w:spacing w:lineRule="exact" w:line="240"/>
              <w:jc w:val="center"/>
              <w:rPr>
                <w:sz w:val="24"/>
                <w:szCs w:val="20"/>
              </w:rPr>
            </w:pPr>
            <w:r>
              <w:rPr>
                <w:sz w:val="24"/>
              </w:rPr>
              <w:t>Федеральное государственное бюджетное образовательное учреждение</w:t>
            </w:r>
          </w:p>
          <w:p>
            <w:pPr>
              <w:pStyle w:val="Normal"/>
              <w:spacing w:lineRule="exact" w:line="240"/>
              <w:jc w:val="center"/>
              <w:rPr>
                <w:sz w:val="24"/>
              </w:rPr>
            </w:pPr>
            <w:r>
              <w:rPr>
                <w:sz w:val="24"/>
              </w:rPr>
              <w:t>высшего образования</w:t>
            </w:r>
          </w:p>
          <w:p>
            <w:pPr>
              <w:pStyle w:val="Normal"/>
              <w:spacing w:lineRule="exact" w:line="24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«МИРЭА –Российский технологический университет»</w:t>
            </w:r>
          </w:p>
          <w:p>
            <w:pPr>
              <w:pStyle w:val="Heading1"/>
              <w:jc w:val="center"/>
              <w:rPr>
                <w:b/>
                <w:color w:val="000000"/>
                <w:sz w:val="32"/>
                <w:szCs w:val="32"/>
                <w:lang w:eastAsia="en-US"/>
              </w:rPr>
            </w:pPr>
            <w:r>
              <w:rPr>
                <w:b/>
                <w:sz w:val="32"/>
                <w:szCs w:val="32"/>
                <w:lang w:eastAsia="en-US"/>
              </w:rPr>
              <w:t>РТУ МИРЭА</w:t>
            </w:r>
          </w:p>
          <w:p>
            <w:pPr>
              <w:pStyle w:val="Normal"/>
              <w:spacing w:lineRule="auto" w:line="254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  <w:p>
            <w:pPr>
              <w:pStyle w:val="Normal"/>
              <w:spacing w:lineRule="auto" w:line="25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Институт кибербезопасности и цифровых технологий</w:t>
            </w:r>
          </w:p>
          <w:p>
            <w:pPr>
              <w:pStyle w:val="Normal"/>
              <w:spacing w:lineRule="auto" w:line="25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</w:r>
          </w:p>
          <w:p>
            <w:pPr>
              <w:pStyle w:val="Normal"/>
              <w:spacing w:lineRule="auto" w:line="254" w:before="0" w:after="160"/>
              <w:jc w:val="center"/>
              <w:rPr>
                <w:b/>
                <w:sz w:val="20"/>
              </w:rPr>
            </w:pPr>
            <w:r>
              <w:rPr>
                <w:b/>
                <w:sz w:val="24"/>
              </w:rPr>
              <w:t>Кафедра КБ-4 «Интеллектуальные системы информационной безопасности»</w:t>
            </w:r>
          </w:p>
        </w:tc>
      </w:tr>
      <w:tr>
        <w:trPr>
          <w:trHeight w:val="1200" w:hRule="atLeast"/>
          <w:cantSplit w:val="true"/>
        </w:trPr>
        <w:tc>
          <w:tcPr>
            <w:tcW w:w="9750" w:type="dxa"/>
            <w:tcBorders/>
          </w:tcPr>
          <w:p>
            <w:pPr>
              <w:pStyle w:val="Normal"/>
              <w:spacing w:lineRule="auto" w:line="360" w:before="0" w:after="160"/>
              <w:rPr/>
            </w:pPr>
            <w:r>
              <w:rPr/>
            </w:r>
          </w:p>
        </w:tc>
      </w:tr>
    </w:tbl>
    <w:p>
      <w:pPr>
        <w:pStyle w:val="Normal"/>
        <w:jc w:val="center"/>
        <w:rPr>
          <w:rFonts w:eastAsia="Times New Roman"/>
          <w:sz w:val="28"/>
          <w:szCs w:val="28"/>
          <w:lang w:eastAsia="ru-RU"/>
        </w:rPr>
      </w:pPr>
      <w:r>
        <w:rPr>
          <w:sz w:val="28"/>
          <w:szCs w:val="28"/>
        </w:rPr>
        <w:t>Дисциплина «Технологии обеспечения информационной безопасности»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32"/>
          <w:szCs w:val="28"/>
        </w:rPr>
      </w:pPr>
      <w:r>
        <w:rPr>
          <w:sz w:val="32"/>
          <w:szCs w:val="28"/>
        </w:rPr>
        <w:t>Отчет</w:t>
      </w:r>
    </w:p>
    <w:p>
      <w:pPr>
        <w:pStyle w:val="Normal"/>
        <w:jc w:val="center"/>
        <w:rPr>
          <w:sz w:val="32"/>
          <w:szCs w:val="28"/>
        </w:rPr>
      </w:pPr>
      <w:r>
        <w:rPr>
          <w:sz w:val="32"/>
          <w:szCs w:val="28"/>
        </w:rPr>
        <w:t>о проделанной практической работе №5</w:t>
      </w:r>
    </w:p>
    <w:p>
      <w:pPr>
        <w:pStyle w:val="Normal"/>
        <w:ind w:left="5387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5387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5387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5387"/>
        <w:rPr>
          <w:sz w:val="28"/>
          <w:szCs w:val="28"/>
        </w:rPr>
      </w:pPr>
      <w:r>
        <w:rPr>
          <w:sz w:val="28"/>
          <w:szCs w:val="28"/>
        </w:rPr>
        <w:t>Выполнил студент 1 курса</w:t>
      </w:r>
    </w:p>
    <w:p>
      <w:pPr>
        <w:pStyle w:val="Normal"/>
        <w:ind w:left="5387"/>
        <w:rPr>
          <w:sz w:val="28"/>
          <w:szCs w:val="28"/>
        </w:rPr>
      </w:pPr>
      <w:r>
        <w:rPr>
          <w:sz w:val="28"/>
          <w:szCs w:val="28"/>
        </w:rPr>
        <w:t>Группы: ББМО-02-24</w:t>
      </w:r>
    </w:p>
    <w:p>
      <w:pPr>
        <w:pStyle w:val="Normal"/>
        <w:ind w:left="5387"/>
        <w:rPr>
          <w:lang w:val="ru-RU"/>
        </w:rPr>
      </w:pPr>
      <w:r>
        <w:rPr>
          <w:lang w:val="ru-RU"/>
        </w:rPr>
        <w:t>Овечкин Александр Романович</w:t>
      </w:r>
    </w:p>
    <w:p>
      <w:pPr>
        <w:pStyle w:val="Normal"/>
        <w:ind w:left="5387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Москва</w:t>
      </w:r>
    </w:p>
    <w:p>
      <w:pPr>
        <w:pStyle w:val="Normal"/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2024</w:t>
      </w:r>
    </w:p>
    <w:p>
      <w:pPr>
        <w:pStyle w:val="Normal"/>
        <w:rPr/>
      </w:pPr>
      <w:r>
        <w:rPr/>
        <w:t xml:space="preserve">Созданы две машины с дебиан 12, на каждой включен сетевой мост  </w:t>
      </w:r>
      <w:r>
        <w:rPr>
          <w:lang w:val="en-US"/>
        </w:rPr>
        <w:t>Deb</w:t>
      </w:r>
      <w:r>
        <w:rPr/>
        <w:t xml:space="preserve">1(192.168.1.71) </w:t>
      </w:r>
      <w:r>
        <w:rPr>
          <w:lang w:val="en-US"/>
        </w:rPr>
        <w:t>Deb</w:t>
      </w:r>
      <w:r>
        <w:rPr/>
        <w:t>2(192.168.1.72)</w:t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940425" cy="1333500"/>
            <wp:effectExtent l="0" t="0" r="0" b="0"/>
            <wp:docPr id="2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4723" r="0" b="369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/>
        <w:t xml:space="preserve">Пинг с </w:t>
      </w:r>
      <w:r>
        <w:rPr>
          <w:lang w:val="en-US"/>
        </w:rPr>
        <w:t>Deb2 Deb1</w:t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940425" cy="1605915"/>
            <wp:effectExtent l="0" t="0" r="0" b="0"/>
            <wp:docPr id="3" name="Рисунок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8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/>
        <w:t>Пинг</w:t>
      </w:r>
      <w:r>
        <w:rPr>
          <w:lang w:val="en-US"/>
        </w:rPr>
        <w:t xml:space="preserve"> </w:t>
      </w:r>
      <w:r>
        <w:rPr/>
        <w:t>с</w:t>
      </w:r>
      <w:r>
        <w:rPr>
          <w:lang w:val="en-US"/>
        </w:rPr>
        <w:t xml:space="preserve"> Deb1 Deb2</w:t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687060" cy="1276350"/>
            <wp:effectExtent l="0" t="0" r="0" b="0"/>
            <wp:docPr id="4" name="Рисунок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9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06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  <w:r>
        <w:br w:type="page"/>
      </w:r>
    </w:p>
    <w:p>
      <w:pPr>
        <w:pStyle w:val="Normal"/>
        <w:spacing w:before="0" w:after="160"/>
        <w:rPr/>
      </w:pPr>
      <w:r>
        <w:rPr/>
        <w:t xml:space="preserve">На каждой из машин запущен </w:t>
      </w:r>
      <w:r>
        <w:rPr>
          <w:lang w:val="en-US"/>
        </w:rPr>
        <w:t>rsylog</w:t>
      </w:r>
      <w:r>
        <w:rPr/>
        <w:t xml:space="preserve"> </w:t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940425" cy="2032000"/>
            <wp:effectExtent l="0" t="0" r="0" b="0"/>
            <wp:docPr id="5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5749" r="0" b="77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Убираем комментирование с </w:t>
      </w:r>
      <w:r>
        <w:rPr>
          <w:lang w:val="en-US"/>
        </w:rPr>
        <w:t>TCP</w:t>
      </w:r>
      <w:r>
        <w:rPr/>
        <w:t xml:space="preserve"> </w:t>
      </w:r>
      <w:r>
        <w:rPr>
          <w:lang w:val="en-US"/>
        </w:rPr>
        <w:t>UDP</w:t>
      </w:r>
      <w:r>
        <w:rPr/>
        <w:t xml:space="preserve"> </w:t>
      </w:r>
      <w:r>
        <w:rPr>
          <w:lang w:val="en-US"/>
        </w:rPr>
        <w:t>rsyslog</w:t>
      </w:r>
      <w:r>
        <w:rPr/>
        <w:t>.</w:t>
      </w:r>
      <w:r>
        <w:rPr>
          <w:lang w:val="en-US"/>
        </w:rPr>
        <w:t>conf</w:t>
      </w:r>
      <w:r>
        <w:rPr/>
        <w:t xml:space="preserve"> на каждой машине</w:t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940425" cy="1945005"/>
            <wp:effectExtent l="0" t="0" r="0" b="0"/>
            <wp:docPr id="6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7664" r="0" b="90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На </w:t>
      </w:r>
      <w:r>
        <w:rPr>
          <w:lang w:val="en-US"/>
        </w:rPr>
        <w:t>Deb</w:t>
      </w:r>
      <w:r>
        <w:rPr/>
        <w:t xml:space="preserve">1 включаем отправку логов на </w:t>
      </w:r>
      <w:r>
        <w:rPr>
          <w:lang w:val="en-US"/>
        </w:rPr>
        <w:t>Deb</w:t>
      </w:r>
      <w:r>
        <w:rPr/>
        <w:t xml:space="preserve">2, так же дополняем на </w:t>
      </w:r>
      <w:r>
        <w:rPr>
          <w:lang w:val="en-US"/>
        </w:rPr>
        <w:t>Deb</w:t>
      </w:r>
      <w:r>
        <w:rPr/>
        <w:t xml:space="preserve"> 2 правила (</w:t>
      </w:r>
      <w:r>
        <w:rPr>
          <w:lang w:val="en-US"/>
        </w:rPr>
        <w:t>Nano</w:t>
      </w:r>
      <w:r>
        <w:rPr/>
        <w:t xml:space="preserve"> /</w:t>
      </w:r>
      <w:r>
        <w:rPr>
          <w:lang w:val="en-US"/>
        </w:rPr>
        <w:t>etc</w:t>
      </w:r>
      <w:r>
        <w:rPr/>
        <w:t>/</w:t>
      </w:r>
      <w:r>
        <w:rPr>
          <w:lang w:val="en-US"/>
        </w:rPr>
        <w:t>rsyslog</w:t>
      </w:r>
      <w:r>
        <w:rPr/>
        <w:t>.</w:t>
      </w:r>
      <w:r>
        <w:rPr>
          <w:lang w:val="en-US"/>
        </w:rPr>
        <w:t>conf</w:t>
      </w:r>
      <w:r>
        <w:rPr/>
        <w:t>)</w:t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940425" cy="2087880"/>
            <wp:effectExtent l="0" t="0" r="0" b="0"/>
            <wp:docPr id="7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0" r="0" b="100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/>
      </w:pPr>
      <w:r>
        <w:rPr/>
        <w:t xml:space="preserve">Рестартам </w:t>
      </w:r>
      <w:r>
        <w:rPr>
          <w:lang w:val="en-US"/>
        </w:rPr>
        <w:t>rsyslog</w:t>
      </w:r>
      <w:r>
        <w:rPr/>
        <w:t xml:space="preserve"> на каждой тачке и выводим статус , можно у заметить что </w:t>
      </w:r>
      <w:r>
        <w:rPr>
          <w:lang w:val="en-US"/>
        </w:rPr>
        <w:t>Deb</w:t>
      </w:r>
      <w:r>
        <w:rPr/>
        <w:t xml:space="preserve">2 слушаем ещё и </w:t>
      </w:r>
      <w:r>
        <w:rPr>
          <w:lang w:val="en-US"/>
        </w:rPr>
        <w:t>Deb</w:t>
      </w:r>
      <w:r>
        <w:rPr/>
        <w:t>1</w:t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940425" cy="2118995"/>
            <wp:effectExtent l="0" t="0" r="0" b="0"/>
            <wp:docPr id="8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2035" r="0" b="120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Скачиваем и запускаем два докера “</w:t>
      </w:r>
      <w:r>
        <w:rPr>
          <w:lang w:val="en-US"/>
        </w:rPr>
        <w:t>loki</w:t>
      </w:r>
      <w:r>
        <w:rPr/>
        <w:t>” и “</w:t>
      </w:r>
      <w:r>
        <w:rPr>
          <w:lang w:val="en-US"/>
        </w:rPr>
        <w:t>Grafana</w:t>
      </w:r>
      <w:r>
        <w:rPr/>
        <w:t>"</w:t>
      </w:r>
    </w:p>
    <w:p>
      <w:pPr>
        <w:pStyle w:val="Normal"/>
        <w:rPr/>
      </w:pPr>
      <w:r>
        <w:rPr/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940425" cy="1993900"/>
            <wp:effectExtent l="0" t="0" r="0" b="0"/>
            <wp:docPr id="9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940425" cy="3227705"/>
            <wp:effectExtent l="0" t="0" r="0" b="0"/>
            <wp:docPr id="10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Заходим по адресу </w:t>
      </w:r>
      <w:r>
        <w:rPr>
          <w:lang w:val="en-US"/>
        </w:rPr>
        <w:t>Deb</w:t>
      </w:r>
      <w:r>
        <w:rPr/>
        <w:t xml:space="preserve"> 2 и порту выделенный </w:t>
      </w:r>
      <w:r>
        <w:rPr>
          <w:lang w:val="en-US"/>
        </w:rPr>
        <w:t>Grafana</w:t>
      </w:r>
      <w:r>
        <w:rPr/>
        <w:t xml:space="preserve"> и подцепляем туда </w:t>
      </w:r>
      <w:r>
        <w:rPr>
          <w:lang w:val="en-US"/>
        </w:rPr>
        <w:t>Loki</w:t>
      </w:r>
    </w:p>
    <w:p>
      <w:pPr>
        <w:pStyle w:val="Normal"/>
        <w:rPr/>
      </w:pPr>
      <w:r>
        <w:rPr/>
        <w:drawing>
          <wp:inline distT="0" distB="0" distL="0" distR="0">
            <wp:extent cx="5940425" cy="1567815"/>
            <wp:effectExtent l="0" t="0" r="0" b="0"/>
            <wp:docPr id="11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0" t="13446" r="0" b="2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Чтобы видеть логи с </w:t>
      </w:r>
      <w:r>
        <w:rPr>
          <w:lang w:val="en-US"/>
        </w:rPr>
        <w:t>Deb</w:t>
      </w:r>
      <w:r>
        <w:rPr/>
        <w:t xml:space="preserve"> 1 поставим на него </w:t>
      </w:r>
      <w:r>
        <w:rPr>
          <w:lang w:val="en-US"/>
        </w:rPr>
        <w:t>promtail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0425" cy="4237990"/>
            <wp:effectExtent l="0" t="0" r="0" b="0"/>
            <wp:docPr id="12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940425" cy="779145"/>
            <wp:effectExtent l="0" t="0" r="0" b="0"/>
            <wp:docPr id="13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863590" cy="1579245"/>
            <wp:effectExtent l="0" t="0" r="0" b="0"/>
            <wp:docPr id="14" name="Рисунок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284" t="9012" r="0" b="48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59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940425" cy="2175510"/>
            <wp:effectExtent l="0" t="0" r="0" b="0"/>
            <wp:docPr id="15" name="Рисунок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0" t="8295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После редактирования всех файлов стартуем и проверяем статус</w:t>
      </w:r>
      <w:bookmarkStart w:id="0" w:name="_GoBack"/>
      <w:bookmarkEnd w:id="0"/>
      <w:r>
        <w:rPr/>
        <w:t xml:space="preserve">, на этом моменте что-то пошло не так и к сожаления проблему найти не смог, поэтому логи не доходят до </w:t>
      </w:r>
      <w:r>
        <w:rPr>
          <w:lang w:val="en-US"/>
        </w:rPr>
        <w:t>Loki</w:t>
      </w:r>
      <w:r>
        <w:rPr/>
        <w:t>(</w:t>
      </w:r>
    </w:p>
    <w:p>
      <w:pPr>
        <w:pStyle w:val="Normal"/>
        <w:rPr/>
      </w:pPr>
      <w:r>
        <w:rPr/>
        <w:drawing>
          <wp:inline distT="0" distB="0" distL="0" distR="0">
            <wp:extent cx="5940425" cy="939800"/>
            <wp:effectExtent l="0" t="0" r="0" b="0"/>
            <wp:docPr id="16" name="Рисунок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  <w:drawing>
          <wp:inline distT="0" distB="0" distL="0" distR="0">
            <wp:extent cx="5940425" cy="2967355"/>
            <wp:effectExtent l="0" t="0" r="0" b="0"/>
            <wp:docPr id="17" name="Рисунок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0" t="2166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Liberation Sans">
    <w:altName w:val="Arial"/>
    <w:charset w:val="cc"/>
    <w:family w:val="swiss"/>
    <w:pitch w:val="variable"/>
  </w:font>
</w:fonts>
</file>

<file path=word/settings.xml><?xml version="1.0" encoding="utf-8"?>
<w:settings xmlns:w="http://schemas.openxmlformats.org/wordprocessingml/2006/main">
  <w:zoom w:percent="8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Heading1">
    <w:name w:val="Heading 1"/>
    <w:basedOn w:val="Normal"/>
    <w:next w:val="Normal"/>
    <w:link w:val="1"/>
    <w:qFormat/>
    <w:rsid w:val="00301a9c"/>
    <w:pPr>
      <w:keepNext w:val="true"/>
      <w:tabs>
        <w:tab w:val="clear" w:pos="708"/>
        <w:tab w:val="left" w:pos="5529" w:leader="none"/>
      </w:tabs>
      <w:spacing w:lineRule="exact" w:line="360" w:before="0" w:after="0"/>
      <w:jc w:val="both"/>
      <w:outlineLvl w:val="0"/>
    </w:pPr>
    <w:rPr>
      <w:rFonts w:ascii="Times New Roman" w:hAnsi="Times New Roman" w:eastAsia="Times New Roman" w:cs="Times New Roman"/>
      <w:sz w:val="28"/>
      <w:szCs w:val="20"/>
      <w:lang w:eastAsia="ru-RU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" w:customStyle="1">
    <w:name w:val="Заголовок 1 Знак"/>
    <w:basedOn w:val="DefaultParagraphFont"/>
    <w:qFormat/>
    <w:rsid w:val="00301a9c"/>
    <w:rPr>
      <w:rFonts w:ascii="Times New Roman" w:hAnsi="Times New Roman" w:eastAsia="Times New Roman" w:cs="Times New Roman"/>
      <w:sz w:val="28"/>
      <w:szCs w:val="20"/>
      <w:lang w:eastAsia="ru-RU"/>
    </w:rPr>
  </w:style>
  <w:style w:type="character" w:styleId="Style13" w:customStyle="1">
    <w:name w:val="Основной текст Знак"/>
    <w:basedOn w:val="DefaultParagraphFont"/>
    <w:semiHidden/>
    <w:qFormat/>
    <w:rsid w:val="00301a9c"/>
    <w:rPr>
      <w:rFonts w:ascii="Times New Roman" w:hAnsi="Times New Roman" w:eastAsia="Times New Roman" w:cs="Times New Roman"/>
      <w:b/>
      <w:sz w:val="28"/>
      <w:szCs w:val="20"/>
      <w:lang w:eastAsia="ru-RU"/>
    </w:rPr>
  </w:style>
  <w:style w:type="character" w:styleId="Style14" w:customStyle="1">
    <w:name w:val="Верхний колонтитул Знак"/>
    <w:basedOn w:val="DefaultParagraphFont"/>
    <w:uiPriority w:val="99"/>
    <w:qFormat/>
    <w:rsid w:val="00e968d7"/>
    <w:rPr/>
  </w:style>
  <w:style w:type="character" w:styleId="Style15" w:customStyle="1">
    <w:name w:val="Нижний колонтитул Знак"/>
    <w:basedOn w:val="DefaultParagraphFont"/>
    <w:uiPriority w:val="99"/>
    <w:qFormat/>
    <w:rsid w:val="00e968d7"/>
    <w:rPr/>
  </w:style>
  <w:style w:type="paragraph" w:styleId="Style16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link w:val="Style13"/>
    <w:semiHidden/>
    <w:unhideWhenUsed/>
    <w:rsid w:val="00301a9c"/>
    <w:pPr>
      <w:spacing w:lineRule="auto" w:line="240" w:before="0" w:after="0"/>
      <w:jc w:val="center"/>
    </w:pPr>
    <w:rPr>
      <w:rFonts w:ascii="Times New Roman" w:hAnsi="Times New Roman" w:eastAsia="Times New Roman" w:cs="Times New Roman"/>
      <w:b/>
      <w:sz w:val="28"/>
      <w:szCs w:val="20"/>
      <w:lang w:eastAsia="ru-RU"/>
    </w:rPr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7">
    <w:name w:val="Указатель"/>
    <w:basedOn w:val="Normal"/>
    <w:qFormat/>
    <w:pPr>
      <w:suppressLineNumbers/>
    </w:pPr>
    <w:rPr>
      <w:rFonts w:cs="Arial"/>
    </w:rPr>
  </w:style>
  <w:style w:type="paragraph" w:styleId="Style18">
    <w:name w:val="Колонтитул"/>
    <w:basedOn w:val="Normal"/>
    <w:qFormat/>
    <w:pPr/>
    <w:rPr/>
  </w:style>
  <w:style w:type="paragraph" w:styleId="Header">
    <w:name w:val="Header"/>
    <w:basedOn w:val="Normal"/>
    <w:link w:val="Style14"/>
    <w:uiPriority w:val="99"/>
    <w:unhideWhenUsed/>
    <w:rsid w:val="00e968d7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Style15"/>
    <w:uiPriority w:val="99"/>
    <w:unhideWhenUsed/>
    <w:rsid w:val="00e968d7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Application>LibreOffice/24.2.3.2$Windows_X86_64 LibreOffice_project/433d9c2ded56988e8a90e6b2e771ee4e6a5ab2ba</Application>
  <AppVersion>15.0000</AppVersion>
  <Pages>6</Pages>
  <Words>177</Words>
  <Characters>1071</Characters>
  <CharactersWithSpaces>1224</CharactersWithSpaces>
  <Paragraphs>42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2024-11-25T14:23:00Z</dcterms:created>
  <dc:creator>Максим Билецкий</dc:creator>
  <dc:description/>
  <dc:language>ru-RU</dc:language>
  <cp:lastModifiedBy/>
  <dcterms:modified xsi:type="dcterms:W3CDTF">2024-12-09T16:57:28Z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