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r>
        <w:rPr>
          <w:rFonts w:ascii="Arial" w:cs="Arial" w:eastAsia="Arial" w:hAnsi="Arial"/>
          <w:b/>
          <w:bCs/>
          <w:color w:val="2E5A88"/>
          <w:sz w:val="52"/>
          <w:szCs w:val="52"/>
        </w:rPr>
        <w:t xml:space="preserve">The Biological Pneumatic Engine</w:t>
      </w:r>
    </w:p>
    <w:p>
      <w:pPr>
        <w:spacing w:after="0" w:before="120"/>
      </w:pPr>
      <w:r>
        <w:rPr>
          <w:rFonts w:ascii="Arial" w:cs="Arial" w:eastAsia="Arial" w:hAnsi="Arial"/>
          <w:color w:val="666666"/>
          <w:sz w:val="30"/>
          <w:szCs w:val="30"/>
        </w:rPr>
        <w:t xml:space="preserve">A Pressure-Differential Model for Dialogue Processing in the Productive Dialogue Protocol (PDP v2)</w:t>
      </w:r>
    </w:p>
    <w:p>
      <w:pPr>
        <w:pBdr>
          <w:top w:val="single" w:color="2E5A88" w:sz="6" w:space="6"/>
        </w:pBdr>
        <w:spacing w:after="0" w:before="600"/>
      </w:pPr>
      <w:r>
        <w:rPr>
          <w:b/>
          <w:bCs/>
          <w:sz w:val="24"/>
          <w:szCs w:val="24"/>
        </w:rPr>
        <w:t xml:space="preserve">Technical White Paper</w:t>
      </w:r>
    </w:p>
    <w:p>
      <w:pPr>
        <w:spacing w:after="160" w:line="276"/>
      </w:pPr>
      <w:r>
        <w:rPr>
          <w:color w:val="666666"/>
        </w:rPr>
        <w:t xml:space="preserve">Aurora / ORIONCORE Workspace  —  Recovered Prototype Series</w:t>
      </w:r>
    </w:p>
    <w:p>
      <w:pPr>
        <w:spacing w:after="160" w:line="276"/>
      </w:pPr>
      <w:r>
        <w:rPr>
          <w:b/>
          <w:bCs/>
        </w:rPr>
        <w:t xml:space="preserve">Artifact: </w:t>
      </w:r>
      <w:r>
        <w:rPr>
          <w:rFonts w:ascii="Courier New" w:cs="Courier New" w:eastAsia="Courier New" w:hAnsi="Courier New"/>
          <w:sz w:val="20"/>
          <w:szCs w:val="20"/>
        </w:rPr>
        <w:t xml:space="preserve">biological_pneumatic_engine.py</w:t>
      </w:r>
      <w:r>
        <w:rPr>
          <w:color w:val="666666"/>
          <w:sz w:val="18"/>
          <w:szCs w:val="18"/>
        </w:rPr>
        <w:t xml:space="preserve">  (SHA-256 20df6280…)</w:t>
      </w:r>
    </w:p>
    <w:p>
      <w:pPr>
        <w:spacing w:after="160" w:line="276"/>
      </w:pPr>
      <w:r>
        <w:rPr>
          <w:b/>
          <w:bCs/>
        </w:rPr>
        <w:t xml:space="preserve">Salvage docket reference: </w:t>
      </w:r>
      <w:r>
        <w:t xml:space="preserve">P7 — Biological Pneumatic Engine Prototype (closed 2026-07-10)</w:t>
      </w:r>
    </w:p>
    <w:p>
      <w:pPr>
        <w:spacing w:after="160" w:line="276"/>
      </w:pPr>
      <w:r>
        <w:rPr>
          <w:b/>
          <w:bCs/>
        </w:rPr>
        <w:t xml:space="preserve">Date: </w:t>
      </w:r>
      <w:r>
        <w:t xml:space="preserve">10 July 2026</w:t>
      </w:r>
      <w:r>
        <w:rPr>
          <w:b/>
          <w:bCs/>
        </w:rPr>
        <w:t xml:space="preserve">     Status: </w:t>
      </w:r>
      <w:r>
        <w:t xml:space="preserve">Recovered prototype — not promoted to canon</w:t>
      </w:r>
    </w:p>
    <w:p>
      <w:r>
        <w:br w:type="page"/>
      </w:r>
    </w:p>
    <w:p>
      <w:pPr>
        <w:spacing w:after="200"/>
      </w:pPr>
      <w:r>
        <w:rPr>
          <w:rFonts w:ascii="Arial" w:cs="Arial" w:eastAsia="Arial" w:hAnsi="Arial"/>
          <w:b/>
          <w:bCs/>
          <w:sz w:val="32"/>
          <w:szCs w:val="32"/>
        </w:rPr>
        <w:t xml:space="preserve">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Abstract</w:t>
      </w:r>
    </w:p>
    <w:p>
      <w:pPr>
        <w:spacing w:after="160" w:line="276"/>
      </w:pPr>
      <w:r>
        <w:t xml:space="preserve">This paper documents the </w:t>
      </w:r>
      <w:r>
        <w:rPr>
          <w:b/>
          <w:bCs/>
        </w:rPr>
        <w:t xml:space="preserve">Biological Pneumatic Engine</w:t>
      </w:r>
      <w:r>
        <w:t xml:space="preserve">, a research prototype that models conversational information processing as the flow of a compressible fluid through a network of pressure differentials. Rather than treating a dialogue turn as a discrete token-level computation, the engine represents attention as pressure, cognitive load as viscosity, and the progression of information through processing stages as flow down a pressure gradient. Three further mechanisms are layered on top: pneumatic logic gates modeled on microfluidic computing, a breathing–cognition coupler that modulates processing by a simulated respiratory phase, and a dialogue-rhythm entrainment model that converges the system’s response cadence toward the user’s.</w:t>
      </w:r>
    </w:p>
    <w:p>
      <w:pPr>
        <w:spacing w:after="160" w:line="276"/>
      </w:pPr>
      <w:r>
        <w:t xml:space="preserve">The prototype is grounded in four peer-reviewed research anchors, all of which we independently verified (§9). It reaches a working, testable form as the reference engine behind the Productive Dialogue Protocol v2 MVP (PDP v2), where a pure-Python adapter reproduces its behavior deterministically. We present the concept, the mathematics of each subsystem, the empirical behavior observed under test, and a candid analysis of the gap between the metaphor’s ambition and the prototype’s current fidelity — including a material divergence between the reference engine and its adapter that any future productionization must resolve.</w:t>
      </w:r>
    </w:p>
    <w:p>
      <w:pPr>
        <w:pStyle w:val="Heading1"/>
      </w:pPr>
      <w:r>
        <w:t xml:space="preserve">1. Introduction and Motivation</w:t>
      </w:r>
    </w:p>
    <w:p>
      <w:pPr>
        <w:spacing w:after="160" w:line="276"/>
      </w:pPr>
      <w:r>
        <w:t xml:space="preserve">Conventional dialogue systems process a turn as a feed-forward pass: tokens in, logits out, with latency dominated by matrix multiplication. This framing is powerful but offers little vocabulary for the </w:t>
      </w:r>
      <w:r>
        <w:rPr>
          <w:i/>
          <w:iCs/>
        </w:rPr>
        <w:t xml:space="preserve">dynamics</w:t>
      </w:r>
      <w:r>
        <w:t xml:space="preserve"> of a conversation — the sense that some exchanges flow easily while others feel viscous, that attention concentrates and dissipates, that two speakers fall into or out of a shared rhythm. The Biological Pneumatic Engine is an attempt to give those dynamics a first-class computational representation by borrowing the mathematics of fluid and pneumatic systems.</w:t>
      </w:r>
    </w:p>
    <w:p>
      <w:pPr>
        <w:spacing w:after="160" w:line="276"/>
      </w:pPr>
      <w:r>
        <w:t xml:space="preserve">The central analogy is simple: </w:t>
      </w:r>
      <w:r>
        <w:rPr>
          <w:b/>
          <w:bCs/>
        </w:rPr>
        <w:t xml:space="preserve">information flows from regions of high relevance-pressure to regions of low pressure, at a rate set by the system’s viscosity and gated by attention.</w:t>
      </w:r>
      <w:r>
        <w:t xml:space="preserve"> This is a direct reuse of the Hagen–Poiseuille relationship for laminar flow, repurposed so that the “pipes” are the stages of a processing hierarchy and the “valves” are attention weights.</w:t>
      </w:r>
    </w:p>
    <w:p>
      <w:pPr>
        <w:spacing w:after="160" w:line="276"/>
      </w:pPr>
      <w:r>
        <w:t xml:space="preserve">The design is deliberately interdisciplinary. It draws on microfluidic pneumatic logic (that pressure can implement Boolean computation), on neuroscience findings that respiration measurably modulates cognition, on speech-science work linking conversational rhythm to interaction quality, and on a connectivity model of the cortex as a gradient from sensory to abstract processing. The remainder of this paper treats the prototype as an engineering artifact: what it does, how it does it, what it gets right, and where the metaphor outruns the implementation.</w:t>
      </w:r>
    </w:p>
    <w:p>
      <w:pPr>
        <w:pStyle w:val="Heading1"/>
      </w:pPr>
      <w:r>
        <w:t xml:space="preserve">2. Research Foundations</w:t>
      </w:r>
    </w:p>
    <w:p>
      <w:pPr>
        <w:spacing w:after="160" w:line="276"/>
      </w:pPr>
      <w:r>
        <w:t xml:space="preserve">The prototype cites four research anchors in its module docstring. Each is a real, locatable publication; we summarize what each establishes and, critically, how faithfully the prototype reflects it. Full citations appear in §10.</w:t>
      </w:r>
    </w:p>
    <w:p>
      <w:pPr>
        <w:pStyle w:val="Heading2"/>
      </w:pPr>
      <w:r>
        <w:t xml:space="preserve">2.1 Microfluidic pneumatic logic (Jensen, Grover &amp; Mathies, 2007)</w:t>
      </w:r>
    </w:p>
    <w:p>
      <w:pPr>
        <w:spacing w:after="160" w:line="276"/>
      </w:pPr>
      <w:r>
        <w:t xml:space="preserve">Jensen and colleagues demonstrated that PDMS membrane valves can act as transistors, composing into pneumatic AND, OR, NOT, NAND, and XOR gates and, ultimately, 4- and 8-bit ripple-carry adders — a proof that pressure is a universal computing medium. The prototype borrows this directly in its </w:t>
      </w:r>
      <w:r>
        <w:rPr>
          <w:rFonts w:ascii="Courier New" w:cs="Courier New" w:eastAsia="Courier New" w:hAnsi="Courier New"/>
          <w:sz w:val="20"/>
          <w:szCs w:val="20"/>
        </w:rPr>
        <w:t xml:space="preserve">PneumaticLogicGate</w:t>
      </w:r>
      <w:r>
        <w:t xml:space="preserve"> class. </w:t>
      </w:r>
      <w:r>
        <w:rPr>
          <w:b/>
          <w:bCs/>
          <w:color w:val="B03A2E"/>
        </w:rPr>
        <w:t xml:space="preserve">Fidelity note:</w:t>
      </w:r>
      <w:r>
        <w:t xml:space="preserve"> the prototype annotates its gates with a “sub-3 ms” response time attributed to this paper. The 2007 work actually reports carry propagation through an 8-bit adder completing within ~1.1 seconds; the millisecond figure is not supported by the cited source and should be treated as a design placeholder, not an empirical claim.</w:t>
      </w:r>
    </w:p>
    <w:p>
      <w:pPr>
        <w:pStyle w:val="Heading2"/>
      </w:pPr>
      <w:r>
        <w:t xml:space="preserve">2.2 Breathing–cognition coupling (Heck et al., 2019; Zelano et al., 2016)</w:t>
      </w:r>
    </w:p>
    <w:p>
      <w:pPr>
        <w:spacing w:after="160" w:line="276"/>
      </w:pPr>
      <w:r>
        <w:t xml:space="preserve">A robust neuroscience literature shows that respiration entrains limbic oscillations and modulates memory: recognition is more accurate during nasal inspiration than expiration, and natural breathing synchronizes activity in piriform cortex, amygdala, and hippocampus. The prototype’s </w:t>
      </w:r>
      <w:r>
        <w:rPr>
          <w:rFonts w:ascii="Courier New" w:cs="Courier New" w:eastAsia="Courier New" w:hAnsi="Courier New"/>
          <w:sz w:val="20"/>
          <w:szCs w:val="20"/>
        </w:rPr>
        <w:t xml:space="preserve">BreathingCognitionCoupler</w:t>
      </w:r>
      <w:r>
        <w:t xml:space="preserve"> models this as a sinusoidal performance modulation over a respiratory phase. </w:t>
      </w:r>
      <w:r>
        <w:rPr>
          <w:b/>
          <w:bCs/>
          <w:color w:val="B03A2E"/>
        </w:rPr>
        <w:t xml:space="preserve">Fidelity note:</w:t>
      </w:r>
      <w:r>
        <w:t xml:space="preserve"> the prototype maps inhalation exclusively to “memory encoding” and exhalation to “retrieval.” The empirical picture is subtler — inspiration enhances both encoding and retrieval — so the clean inhale/exhale split is a simplification for tractability.</w:t>
      </w:r>
    </w:p>
    <w:p>
      <w:pPr>
        <w:pStyle w:val="Heading2"/>
      </w:pPr>
      <w:r>
        <w:t xml:space="preserve">2.3 Dialogue rhythm entrainment (Wynn, Barrett &amp; Borrie, 2022)</w:t>
      </w:r>
    </w:p>
    <w:p>
      <w:pPr>
        <w:spacing w:after="160" w:line="276"/>
      </w:pPr>
      <w:r>
        <w:t xml:space="preserve">This is the prototype’s closest match to its source. Wynn et al. present a mediated model in which rhythm-perception ability predicts speaking-rate entrainment, which in turn predicts conversational quality. The prototype’s </w:t>
      </w:r>
      <w:r>
        <w:rPr>
          <w:rFonts w:ascii="Courier New" w:cs="Courier New" w:eastAsia="Courier New" w:hAnsi="Courier New"/>
          <w:sz w:val="20"/>
          <w:szCs w:val="20"/>
        </w:rPr>
        <w:t xml:space="preserve">DialogueRhythmEntrainment</w:t>
      </w:r>
      <w:r>
        <w:t xml:space="preserve"> reproduces exactly this chain: a rhythm-perception coefficient mediates a similarity-based entrainment score, which feeds a quality estimate. The r ≈ 0.72 quality correlation noted in the code is consistent with the published mediated model.</w:t>
      </w:r>
    </w:p>
    <w:p>
      <w:pPr>
        <w:pStyle w:val="Heading2"/>
      </w:pPr>
      <w:r>
        <w:t xml:space="preserve">2.4 Consciousness gradient (Margulies et al., 2016)</w:t>
      </w:r>
    </w:p>
    <w:p>
      <w:pPr>
        <w:spacing w:after="160" w:line="276"/>
      </w:pPr>
      <w:r>
        <w:t xml:space="preserve">Margulies et al. established a “principal gradient” of cortical organization running from unimodal sensory/motor regions to transmodal association cortex (the default-mode network). The prototype borrows this as the ordered node chain </w:t>
      </w:r>
      <w:r>
        <w:rPr>
          <w:rFonts w:ascii="Courier New" w:cs="Courier New" w:eastAsia="Courier New" w:hAnsi="Courier New"/>
          <w:sz w:val="20"/>
          <w:szCs w:val="20"/>
        </w:rPr>
        <w:t xml:space="preserve">input → attention → semantic → creative → output</w:t>
      </w:r>
      <w:r>
        <w:t xml:space="preserve">. </w:t>
      </w:r>
      <w:r>
        <w:rPr>
          <w:b/>
          <w:bCs/>
          <w:color w:val="B03A2E"/>
        </w:rPr>
        <w:t xml:space="preserve">Fidelity note:</w:t>
      </w:r>
      <w:r>
        <w:t xml:space="preserve"> this is a metaphorical, not a mechanistic, borrowing — the gradient supplies an intuition for ordering processing stages, not a validated mapping onto the paper’s connectivity findings.</w:t>
      </w:r>
    </w:p>
    <w:p>
      <w:pPr>
        <w:pStyle w:val="Heading1"/>
      </w:pPr>
      <w:r>
        <w:t xml:space="preserve">3. System Architecture</w:t>
      </w:r>
    </w:p>
    <w:p>
      <w:pPr>
        <w:spacing w:after="160" w:line="276"/>
      </w:pPr>
      <w:r>
        <w:t xml:space="preserve">The engine is composed of five subsystems coordinated by a top-level integrator. Table 1 summarizes them; §4 gives the mathematics.</w:t>
      </w:r>
    </w:p>
    <w:p>
      <w:pPr>
        <w:spacing w:after="160" w:line="276"/>
      </w:pPr>
      <w:r>
        <w:rPr>
          <w:b/>
          <w:bCs/>
        </w:rPr>
        <w:t xml:space="preserve">Table 1. </w:t>
      </w:r>
      <w:r>
        <w:rPr>
          <w:i/>
          <w:iCs/>
        </w:rPr>
        <w:t xml:space="preserve">Subsystems of the Biological Pneumatic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pPr>
              <w:spacing w:after="0"/>
            </w:pPr>
            <w:r>
              <w:rPr>
                <w:b/>
                <w:bCs/>
                <w:color w:val="FFFFFF"/>
              </w:rPr>
              <w:t xml:space="preserve">Component</w:t>
            </w:r>
          </w:p>
        </w:tc>
        <w:tc>
          <w:tcPr>
            <w:tcW w:type="dxa" w:w="456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pPr>
              <w:spacing w:after="0"/>
            </w:pPr>
            <w:r>
              <w:rPr>
                <w:b/>
                <w:bCs/>
                <w:color w:val="FFFFFF"/>
              </w:rPr>
              <w:t xml:space="preserve">Role</w:t>
            </w:r>
          </w:p>
        </w:tc>
        <w:tc>
          <w:tcPr>
            <w:tcW w:type="dxa" w:w="24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pPr>
              <w:spacing w:after="0"/>
            </w:pPr>
            <w:r>
              <w:rPr>
                <w:b/>
                <w:bCs/>
                <w:color w:val="FFFFFF"/>
              </w:rPr>
              <w:t xml:space="preserve">Research anchor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PneumaticLogicGate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Async Boolean gates (AND/OR/NOT/XOR/NAND) with a simulated actuation delay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Jensen 2007</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t xml:space="preserve">BreathingCognitionCoupler</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t xml:space="preserve">Sinusoidal cognitive modulation over a respiratory phase</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t xml:space="preserve">Heck 2019 / Zelano 2016</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PneumaticInformationProcessor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Pressure-gradient flow across a node hierarchy (Hagen–Poiseuille analogy)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Margulies 2016</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t xml:space="preserve">DialogueRhythmEntrainment</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t xml:space="preserve">Rolling correlation of user vs. AI cadence → entrainment → quality</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t xml:space="preserve">Wynn 2022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BiologicalPneumaticEngine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Per-turn orchestration and metric aggregation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w:t>
            </w:r>
          </w:p>
        </w:tc>
      </w:tr>
    </w:tbl>
    <w:p>
      <w:pPr>
        <w:spacing w:after="160" w:line="276"/>
      </w:pPr>
      <w:r>
        <w:t xml:space="preserve">Two of these subsystems are worth an early caveat. The pneumatic logic gates are </w:t>
      </w:r>
      <w:r>
        <w:rPr>
          <w:b/>
          <w:bCs/>
        </w:rPr>
        <w:t xml:space="preserve">constructed but never invoked</w:t>
      </w:r>
      <w:r>
        <w:t xml:space="preserve"> by any code path in the integrator — they are latent wiring rather than an active control surface. And the respiratory coupler’s output (“cognitive state”) is reported as a metric but does not feed back into the flow computation. Both are documented in the behavior inventory as migration decisions.</w:t>
      </w:r>
    </w:p>
    <w:p>
      <w:pPr>
        <w:pStyle w:val="Heading1"/>
      </w:pPr>
      <w:r>
        <w:t xml:space="preserve">4. Mathematical Model</w:t>
      </w:r>
    </w:p>
    <w:p>
      <w:pPr>
        <w:pStyle w:val="Heading2"/>
      </w:pPr>
      <w:r>
        <w:t xml:space="preserve">4.1 Pressure-differential flow</w:t>
      </w:r>
    </w:p>
    <w:p>
      <w:pPr>
        <w:spacing w:after="160" w:line="276"/>
      </w:pPr>
      <w:r>
        <w:t xml:space="preserve">The processor holds a vector of node pressures </w:t>
      </w:r>
      <w:r>
        <w:rPr>
          <w:rFonts w:ascii="Courier New" w:cs="Courier New" w:eastAsia="Courier New" w:hAnsi="Courier New"/>
          <w:sz w:val="20"/>
          <w:szCs w:val="20"/>
        </w:rPr>
        <w:t xml:space="preserve">P</w:t>
      </w:r>
      <w:r>
        <w:t xml:space="preserve"> and computes flow between adjacent nodes using a discrete Hagen–Poiseuille analogy. For node pair (i, i+1):</w:t>
      </w:r>
    </w:p>
    <w:p>
      <w:pPr>
        <w:spacing w:after="160" w:line="276"/>
        <w:jc w:val="center"/>
      </w:pPr>
      <w:r>
        <w:rPr>
          <w:rFonts w:ascii="Courier New" w:cs="Courier New" w:eastAsia="Courier New" w:hAnsi="Courier New"/>
          <w:sz w:val="20"/>
          <w:szCs w:val="20"/>
        </w:rPr>
        <w:t xml:space="preserve">flow[i] = (P[i] − P[i+1]) / viscosity × mean(attn[i], attn[i+1])</w:t>
      </w:r>
    </w:p>
    <w:p>
      <w:pPr>
        <w:spacing w:after="160" w:line="276"/>
      </w:pPr>
      <w:r>
        <w:t xml:space="preserve">Flow is proportional to the pressure differential, inversely proportional to viscosity, and gated by the mean attention weight of the pair (the “valve” term). Pressures are then updated conservatively, each node ceding or gaining </w:t>
      </w:r>
      <w:r>
        <w:rPr>
          <w:rFonts w:ascii="Courier New" w:cs="Courier New" w:eastAsia="Courier New" w:hAnsi="Courier New"/>
          <w:sz w:val="20"/>
          <w:szCs w:val="20"/>
        </w:rPr>
        <w:t xml:space="preserve">0.5 × flow × dt</w:t>
      </w:r>
      <w:r>
        <w:t xml:space="preserve">, so total pressure is preserved across the transfer.</w:t>
      </w:r>
    </w:p>
    <w:p>
      <w:pPr>
        <w:pStyle w:val="Heading2"/>
      </w:pPr>
      <w:r>
        <w:t xml:space="preserve">4.2 Processing latency and efficiency</w:t>
      </w:r>
    </w:p>
    <w:p>
      <w:pPr>
        <w:spacing w:after="160" w:line="276"/>
      </w:pPr>
      <w:r>
        <w:t xml:space="preserve">Per-turn latency is a base cost adjusted by flow complexity and the respiratory phase:</w:t>
      </w:r>
    </w:p>
    <w:p>
      <w:pPr>
        <w:spacing w:after="160" w:line="276"/>
        <w:jc w:val="center"/>
      </w:pPr>
      <w:r>
        <w:rPr>
          <w:rFonts w:ascii="Courier New" w:cs="Courier New" w:eastAsia="Courier New" w:hAnsi="Courier New"/>
          <w:sz w:val="20"/>
          <w:szCs w:val="20"/>
        </w:rPr>
        <w:t xml:space="preserve">latency = max(5.0 + 0.3·Σ|flow| − 0.5·cos(phase), 2.0)   [ms]</w:t>
      </w:r>
    </w:p>
    <w:p>
      <w:pPr>
        <w:spacing w:after="160" w:line="276"/>
        <w:jc w:val="center"/>
      </w:pPr>
      <w:r>
        <w:rPr>
          <w:rFonts w:ascii="Courier New" w:cs="Courier New" w:eastAsia="Courier New" w:hAnsi="Courier New"/>
          <w:sz w:val="20"/>
          <w:szCs w:val="20"/>
        </w:rPr>
        <w:t xml:space="preserve">efficiency = clamp(1 − latency/50, 0, 1)</w:t>
      </w:r>
    </w:p>
    <w:p>
      <w:pPr>
        <w:spacing w:after="160" w:line="276"/>
      </w:pPr>
      <w:r>
        <w:t xml:space="preserve">Efficiency is defined relative to a nominal 50 ms “classical” baseline. The 2 ms floor bounds efficiency at ≤ 0.96. Note the </w:t>
      </w:r>
      <w:r>
        <w:rPr>
          <w:i/>
          <w:iCs/>
        </w:rPr>
        <w:t xml:space="preserve">breathing benefit</w:t>
      </w:r>
      <w:r>
        <w:t xml:space="preserve"> term: coherent respiration (via the cosine of the phase) can shave latency, the one place respiration touches the flow model — though the coupler’s own richer output is not used here.</w:t>
      </w:r>
    </w:p>
    <w:p>
      <w:pPr>
        <w:pStyle w:val="Heading2"/>
      </w:pPr>
      <w:r>
        <w:t xml:space="preserve">4.3 Breathing–cognition coupler</w:t>
      </w:r>
    </w:p>
    <w:p>
      <w:pPr>
        <w:spacing w:after="160" w:line="276"/>
      </w:pPr>
      <w:r>
        <w:t xml:space="preserve">The phase advances as a fixed-frequency oscillator, and cognitive state is a baseline plus a sinusoidal modulation:</w:t>
      </w:r>
    </w:p>
    <w:p>
      <w:pPr>
        <w:spacing w:after="160" w:line="276"/>
        <w:jc w:val="center"/>
      </w:pPr>
      <w:r>
        <w:rPr>
          <w:rFonts w:ascii="Courier New" w:cs="Courier New" w:eastAsia="Courier New" w:hAnsi="Courier New"/>
          <w:sz w:val="20"/>
          <w:szCs w:val="20"/>
        </w:rPr>
        <w:t xml:space="preserve">phase ← (phase + 2π·f·dt) mod 2π     cognitive_state = 0.7 + 0.15·sin(phase)</w:t>
      </w:r>
    </w:p>
    <w:p>
      <w:pPr>
        <w:spacing w:after="160" w:line="276"/>
      </w:pPr>
      <w:r>
        <w:t xml:space="preserve">Default frequency is 0.25 Hz (15 breaths/min). Task-optimal phase windows map encoding to inhalation [0, π], retrieval to exhalation [π, 2π], and attention to early inhalation [0, π/2].</w:t>
      </w:r>
    </w:p>
    <w:p>
      <w:pPr>
        <w:pStyle w:val="Heading2"/>
      </w:pPr>
      <w:r>
        <w:t xml:space="preserve">4.4 Rhythm entrainment</w:t>
      </w:r>
    </w:p>
    <w:p>
      <w:pPr>
        <w:spacing w:after="160" w:line="276"/>
      </w:pPr>
      <w:r>
        <w:t xml:space="preserve">Over a rolling 10-turn window of user and AI cadences (words/sec), entrainment is a perception-weighted similarity, and quality is a linear function of both:</w:t>
      </w:r>
    </w:p>
    <w:p>
      <w:pPr>
        <w:spacing w:after="160" w:line="276"/>
        <w:jc w:val="center"/>
      </w:pPr>
      <w:r>
        <w:rPr>
          <w:rFonts w:ascii="Courier New" w:cs="Courier New" w:eastAsia="Courier New" w:hAnsi="Courier New"/>
          <w:sz w:val="20"/>
          <w:szCs w:val="20"/>
        </w:rPr>
        <w:t xml:space="preserve">entrainment = (1 − mean|Δrhythm|/5.0) × rhythm_perception   (≥3 turns, else 0)</w:t>
      </w:r>
    </w:p>
    <w:p>
      <w:pPr>
        <w:spacing w:after="160" w:line="276"/>
        <w:jc w:val="center"/>
      </w:pPr>
      <w:r>
        <w:rPr>
          <w:rFonts w:ascii="Courier New" w:cs="Courier New" w:eastAsia="Courier New" w:hAnsi="Courier New"/>
          <w:sz w:val="20"/>
          <w:szCs w:val="20"/>
        </w:rPr>
        <w:t xml:space="preserve">optimal_ai_rhythm = ai·(1−k) + user·k,   k = 0.3·entrainment</w:t>
      </w:r>
    </w:p>
    <w:p>
      <w:pPr>
        <w:spacing w:after="160" w:line="276"/>
        <w:jc w:val="center"/>
      </w:pPr>
      <w:r>
        <w:rPr>
          <w:rFonts w:ascii="Courier New" w:cs="Courier New" w:eastAsia="Courier New" w:hAnsi="Courier New"/>
          <w:sz w:val="20"/>
          <w:szCs w:val="20"/>
        </w:rPr>
        <w:t xml:space="preserve">quality = min(0.5 + 0.4·entrainment + 0.1·rhythm_perception, 1.0)</w:t>
      </w:r>
    </w:p>
    <w:p>
      <w:pPr>
        <w:spacing w:after="160" w:line="276"/>
      </w:pPr>
      <w:r>
        <w:t xml:space="preserve">The AI cadence converges toward the running user mean at a rate proportional to the current entrainment — a slow, stable lock rather than an abrupt match. </w:t>
      </w:r>
      <w:r>
        <w:rPr>
          <w:b/>
          <w:bCs/>
        </w:rPr>
        <w:t xml:space="preserve">Implementation note:</w:t>
      </w:r>
      <w:r>
        <w:t xml:space="preserve"> the reference engine does not clamp entrainment to [0, 1]; the PDP adapter does. This is one of several small divergences catalogued in §7.</w:t>
      </w:r>
    </w:p>
    <w:p>
      <w:pPr>
        <w:pStyle w:val="Heading1"/>
      </w:pPr>
      <w:r>
        <w:t xml:space="preserve">5. Interface Contract</w:t>
      </w:r>
    </w:p>
    <w:p>
      <w:pPr>
        <w:spacing w:after="160" w:line="276"/>
      </w:pPr>
      <w:r>
        <w:t xml:space="preserve">Each dialogue turn is processed through a single asynchronous call. The input and output schemas are given in Table 2.</w:t>
      </w:r>
    </w:p>
    <w:p>
      <w:pPr>
        <w:spacing w:after="160" w:line="276"/>
      </w:pPr>
      <w:r>
        <w:rPr>
          <w:b/>
          <w:bCs/>
        </w:rPr>
        <w:t xml:space="preserve">Table 2. </w:t>
      </w:r>
      <w:r>
        <w:rPr>
          <w:i/>
          <w:iCs/>
        </w:rPr>
        <w:t xml:space="preserve">Per-turn input and output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pPr>
              <w:spacing w:after="0"/>
            </w:pPr>
            <w:r>
              <w:rPr>
                <w:b/>
                <w:bCs/>
                <w:color w:val="FFFFFF"/>
              </w:rPr>
              <w:t xml:space="preserve">Field</w:t>
            </w:r>
          </w:p>
        </w:tc>
        <w:tc>
          <w:tcPr>
            <w:tcW w:type="dxa" w:w="20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pPr>
              <w:spacing w:after="0"/>
            </w:pPr>
            <w:r>
              <w:rPr>
                <w:b/>
                <w:bCs/>
                <w:color w:val="FFFFFF"/>
              </w:rPr>
              <w:t xml:space="preserve">Direction / type</w:t>
            </w:r>
          </w:p>
        </w:tc>
        <w:tc>
          <w:tcPr>
            <w:tcW w:type="dxa" w:w="476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pPr>
              <w:spacing w:after="0"/>
            </w:pPr>
            <w:r>
              <w:rPr>
                <w:b/>
                <w:bCs/>
                <w:color w:val="FFFFFF"/>
              </w:rPr>
              <w:t xml:space="preserve">Meaning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message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in — str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Turn text (unused by the flow math; carried for context)</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t xml:space="preserve">pressure</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t xml:space="preserve">in — float (100.0)</w:t>
            </w:r>
          </w:p>
        </w:tc>
        <w:tc>
          <w:tcPr>
            <w:tcW w:type="dxa" w:w="4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t xml:space="preserve">Initial relevance-pressure at the input node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attention_focus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in — List[float] (len 5)</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Per-node attention weights (valve settings)</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t xml:space="preserve">user_rhythm</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t xml:space="preserve">in — float (4.0)</w:t>
            </w:r>
          </w:p>
        </w:tc>
        <w:tc>
          <w:tcPr>
            <w:tcW w:type="dxa" w:w="4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t xml:space="preserve">User cadence in words/sec</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response / output_pressure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out — float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Pressure emerging at the output node</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t xml:space="preserve">latency_ms</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t xml:space="preserve">out — float</w:t>
            </w:r>
          </w:p>
        </w:tc>
        <w:tc>
          <w:tcPr>
            <w:tcW w:type="dxa" w:w="4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t xml:space="preserve">Modeled processing latency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efficiency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out — float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1 − latency/50, clamped to [0,1]</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t xml:space="preserve">quality</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t xml:space="preserve">out — float</w:t>
            </w:r>
          </w:p>
        </w:tc>
        <w:tc>
          <w:tcPr>
            <w:tcW w:type="dxa" w:w="4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t xml:space="preserve">Conversational-quality estimate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entrainment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out — float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Rhythm synchronization strength</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t xml:space="preserve">cognitive_state / breathing_phase</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t xml:space="preserve">out — float</w:t>
            </w:r>
          </w:p>
        </w:tc>
        <w:tc>
          <w:tcPr>
            <w:tcW w:type="dxa" w:w="4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t xml:space="preserve">Respiratory-phase diagnostics</w:t>
            </w:r>
          </w:p>
        </w:tc>
      </w:tr>
    </w:tbl>
    <w:p>
      <w:pPr>
        <w:pStyle w:val="Heading1"/>
      </w:pPr>
      <w:r>
        <w:t xml:space="preserve">6. Empirical Behavior</w:t>
      </w:r>
    </w:p>
    <w:p>
      <w:pPr>
        <w:spacing w:after="160" w:line="276"/>
      </w:pPr>
      <w:r>
        <w:t xml:space="preserve">The prototype was exercised in two configurations: the pure-Python </w:t>
      </w:r>
      <w:r>
        <w:rPr>
          <w:b/>
          <w:bCs/>
        </w:rPr>
        <w:t xml:space="preserve">fallback</w:t>
      </w:r>
      <w:r>
        <w:t xml:space="preserve"> adapter (no scientific dependencies) and the </w:t>
      </w:r>
      <w:r>
        <w:rPr>
          <w:b/>
          <w:bCs/>
        </w:rPr>
        <w:t xml:space="preserve">external</w:t>
      </w:r>
      <w:r>
        <w:t xml:space="preserve"> reference engine (NumPy). Both were driven with an identical three-turn synthetic dialogue. Table 3 reports the last-turn metrics and the committed validation targets.</w:t>
      </w:r>
    </w:p>
    <w:p>
      <w:pPr>
        <w:spacing w:after="160" w:line="276"/>
      </w:pPr>
      <w:r>
        <w:rPr>
          <w:b/>
          <w:bCs/>
        </w:rPr>
        <w:t xml:space="preserve">Table 3. </w:t>
      </w:r>
      <w:r>
        <w:rPr>
          <w:i/>
          <w:iCs/>
        </w:rPr>
        <w:t xml:space="preserve">Observed metrics vs. committed targets (3-turn synthetic dialogue, 2026-07-10).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50"/>
        <w:gridCol w:w="1650"/>
        <w:gridCol w:w="1560"/>
        <w:gridCol w:w="1500"/>
      </w:tblGrid>
      <w:tr>
        <w:trPr>
          <w:tblHeader/>
        </w:trPr>
        <w:tc>
          <w:tcPr>
            <w:tcW w:type="dxa" w:w="30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pPr>
              <w:spacing w:after="0"/>
            </w:pPr>
            <w:r>
              <w:rPr>
                <w:b/>
                <w:bCs/>
                <w:color w:val="FFFFFF"/>
              </w:rPr>
              <w:t xml:space="preserve">Metric</w:t>
            </w:r>
          </w:p>
        </w:tc>
        <w:tc>
          <w:tcPr>
            <w:tcW w:type="dxa" w:w="165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pPr>
              <w:spacing w:after="0"/>
            </w:pPr>
            <w:r>
              <w:rPr>
                <w:b/>
                <w:bCs/>
                <w:color w:val="FFFFFF"/>
              </w:rPr>
              <w:t xml:space="preserve">Target</w:t>
            </w:r>
          </w:p>
        </w:tc>
        <w:tc>
          <w:tcPr>
            <w:tcW w:type="dxa" w:w="165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pPr>
              <w:spacing w:after="0"/>
            </w:pPr>
            <w:r>
              <w:rPr>
                <w:b/>
                <w:bCs/>
                <w:color w:val="FFFFFF"/>
              </w:rPr>
              <w:t xml:space="preserve">Fallback</w:t>
            </w:r>
          </w:p>
        </w:tc>
        <w:tc>
          <w:tcPr>
            <w:tcW w:type="dxa" w:w="156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pPr>
              <w:spacing w:after="0"/>
            </w:pPr>
            <w:r>
              <w:rPr>
                <w:b/>
                <w:bCs/>
                <w:color w:val="FFFFFF"/>
              </w:rPr>
              <w:t xml:space="preserve">External</w:t>
            </w:r>
          </w:p>
        </w:tc>
        <w:tc>
          <w:tcPr>
            <w:tcW w:type="dxa" w:w="15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pPr>
              <w:spacing w:after="0"/>
            </w:pPr>
            <w:r>
              <w:rPr>
                <w:b/>
                <w:bCs/>
                <w:color w:val="FFFFFF"/>
              </w:rPr>
              <w:t xml:space="preserve">Target met?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Response latency (ms)</w:t>
            </w:r>
          </w:p>
        </w:tc>
        <w:tc>
          <w:tcPr>
            <w:tcW w:type="dxa" w:w="16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&lt; 10</w:t>
            </w:r>
          </w:p>
        </w:tc>
        <w:tc>
          <w:tcPr>
            <w:tcW w:type="dxa" w:w="16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5.17</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202.40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Fallback only</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t xml:space="preserve">Processing efficiency</w:t>
            </w:r>
          </w:p>
        </w:tc>
        <w:tc>
          <w:tcPr>
            <w:tcW w:type="dxa" w:w="165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t xml:space="preserve">&gt; 0.85</w:t>
            </w:r>
          </w:p>
        </w:tc>
        <w:tc>
          <w:tcPr>
            <w:tcW w:type="dxa" w:w="165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t xml:space="preserve">0.897</w:t>
            </w:r>
          </w:p>
        </w:tc>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t xml:space="preserve">0.000</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t xml:space="preserve">Fallback only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Entrainment strength</w:t>
            </w:r>
          </w:p>
        </w:tc>
        <w:tc>
          <w:tcPr>
            <w:tcW w:type="dxa" w:w="16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&gt; 0.70</w:t>
            </w:r>
          </w:p>
        </w:tc>
        <w:tc>
          <w:tcPr>
            <w:tcW w:type="dxa" w:w="16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0.65*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0.65*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Approaching</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t xml:space="preserve">Cognitive boost (%)</w:t>
            </w:r>
          </w:p>
        </w:tc>
        <w:tc>
          <w:tcPr>
            <w:tcW w:type="dxa" w:w="165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t xml:space="preserve">&gt; 10</w:t>
            </w:r>
          </w:p>
        </w:tc>
        <w:tc>
          <w:tcPr>
            <w:tcW w:type="dxa" w:w="165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t xml:space="preserve">n/a</w:t>
            </w:r>
          </w:p>
        </w:tc>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t xml:space="preserve">n/a</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t xml:space="preser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PDP v2 MVP test suite</w:t>
            </w:r>
          </w:p>
        </w:tc>
        <w:tc>
          <w:tcPr>
            <w:tcW w:type="dxa" w:w="16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pass</w:t>
            </w:r>
          </w:p>
        </w:tc>
        <w:tc>
          <w:tcPr>
            <w:tcW w:type="dxa" w:w="16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7 / 7</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Yes</w:t>
            </w:r>
          </w:p>
        </w:tc>
      </w:tr>
    </w:tbl>
    <w:p>
      <w:pPr>
        <w:spacing w:after="160" w:line="276"/>
      </w:pPr>
      <w:r>
        <w:rPr>
          <w:color w:val="666666"/>
          <w:sz w:val="20"/>
          <w:szCs w:val="20"/>
        </w:rPr>
        <w:t xml:space="preserve">* Single last-turn value; the 3-turn mean entrainment is ~0.22 because the metric requires ≥3 turns of history before it becomes non-zero. Targets are sourced from </w:t>
      </w:r>
      <w:r>
        <w:rPr>
          <w:rFonts w:ascii="Courier New" w:cs="Courier New" w:eastAsia="Courier New" w:hAnsi="Courier New"/>
          <w:sz w:val="20"/>
          <w:szCs w:val="20"/>
        </w:rPr>
        <w:t xml:space="preserve">pneumatic_validation_metrics.csv</w:t>
      </w:r>
      <w:r>
        <w:rPr>
          <w:color w:val="666666"/>
          <w:sz w:val="20"/>
          <w:szCs w:val="20"/>
        </w:rPr>
        <w:t xml:space="preserve"> via </w:t>
      </w:r>
      <w:r>
        <w:rPr>
          <w:rFonts w:ascii="Courier New" w:cs="Courier New" w:eastAsia="Courier New" w:hAnsi="Courier New"/>
          <w:sz w:val="20"/>
          <w:szCs w:val="20"/>
        </w:rPr>
        <w:t xml:space="preserve">targets.yaml</w:t>
      </w:r>
      <w:r>
        <w:rPr>
          <w:color w:val="666666"/>
          <w:sz w:val="20"/>
          <w:szCs w:val="20"/>
        </w:rPr>
        <w:t xml:space="preserve">.</w:t>
      </w:r>
    </w:p>
    <w:p>
      <w:pPr>
        <w:spacing w:after="160" w:line="276"/>
      </w:pPr>
      <w:r>
        <w:t xml:space="preserve">The headline result is the </w:t>
      </w:r>
      <w:r>
        <w:rPr>
          <w:b/>
          <w:bCs/>
          <w:color w:val="B03A2E"/>
        </w:rPr>
        <w:t xml:space="preserve">divergence</w:t>
      </w:r>
      <w:r>
        <w:t xml:space="preserve"> between the two engines. The fallback comfortably meets its latency and efficiency targets; the reference engine misses them by nearly two orders of magnitude. The cause is structural, not a bug in the usual sense (§7.2).</w:t>
      </w:r>
    </w:p>
    <w:p>
      <w:pPr>
        <w:pStyle w:val="Heading1"/>
      </w:pPr>
      <w:r>
        <w:t xml:space="preserve">7. Engineering Findings</w:t>
      </w:r>
    </w:p>
    <w:p>
      <w:pPr>
        <w:pStyle w:val="Heading2"/>
      </w:pPr>
      <w:r>
        <w:t xml:space="preserve">7.1 Defects corrected during recovery</w:t>
      </w:r>
    </w:p>
    <w:p>
      <w:pPr>
        <w:spacing w:after="160" w:line="276"/>
      </w:pPr>
      <w:r>
        <w:t xml:space="preserve">Two issues were fixed in the operative copy during the P7 recovery, both verified by re-running the test suite:</w:t>
      </w:r>
    </w:p>
    <w:p>
      <w:pPr>
        <w:pStyle w:val="ListParagraph"/>
        <w:numPr>
          <w:ilvl w:val="0"/>
          <w:numId w:val="2"/>
        </w:numPr>
        <w:spacing w:after="80"/>
      </w:pPr>
      <w:r>
        <w:rPr>
          <w:b/>
          <w:bCs/>
        </w:rPr>
        <w:t xml:space="preserve">Dead dependency. </w:t>
      </w:r>
      <w:r>
        <w:t xml:space="preserve">The reference engine imported </w:t>
      </w:r>
      <w:r>
        <w:rPr>
          <w:rFonts w:ascii="Courier New" w:cs="Courier New" w:eastAsia="Courier New" w:hAnsi="Courier New"/>
          <w:sz w:val="20"/>
          <w:szCs w:val="20"/>
        </w:rPr>
        <w:t xml:space="preserve">scipy.signal</w:t>
      </w:r>
      <w:r>
        <w:t xml:space="preserve"> but never used it. Because the adapter selects the external engine only if its imports succeed, a missing SciPy silently forced fallback mode even where NumPy alone would suffice. The unused import was removed, so the external engine now loads with NumPy only.</w:t>
      </w:r>
    </w:p>
    <w:p>
      <w:pPr>
        <w:pStyle w:val="ListParagraph"/>
        <w:numPr>
          <w:ilvl w:val="0"/>
          <w:numId w:val="2"/>
        </w:numPr>
        <w:spacing w:after="80"/>
      </w:pPr>
      <w:r>
        <w:rPr>
          <w:b/>
          <w:bCs/>
        </w:rPr>
        <w:t xml:space="preserve">Over-broad exception guard. </w:t>
      </w:r>
      <w:r>
        <w:t xml:space="preserve">The adapter wrapped external-engine construction in a bare </w:t>
      </w:r>
      <w:r>
        <w:rPr>
          <w:rFonts w:ascii="Courier New" w:cs="Courier New" w:eastAsia="Courier New" w:hAnsi="Courier New"/>
          <w:sz w:val="20"/>
          <w:szCs w:val="20"/>
        </w:rPr>
        <w:t xml:space="preserve">except Exception</w:t>
      </w:r>
      <w:r>
        <w:t xml:space="preserve">, which masked genuine engine defects as ordinary “dependency missing” fallbacks. This was narrowed to </w:t>
      </w:r>
      <w:r>
        <w:rPr>
          <w:rFonts w:ascii="Courier New" w:cs="Courier New" w:eastAsia="Courier New" w:hAnsi="Courier New"/>
          <w:sz w:val="20"/>
          <w:szCs w:val="20"/>
        </w:rPr>
        <w:t xml:space="preserve">except ImportError</w:t>
      </w:r>
      <w:r>
        <w:t xml:space="preserve"> so that real failures surface instead of disappearing.</w:t>
      </w:r>
    </w:p>
    <w:p>
      <w:pPr>
        <w:pStyle w:val="Heading2"/>
      </w:pPr>
      <w:r>
        <w:t xml:space="preserve">7.2 The external/fallback divergence</w:t>
      </w:r>
    </w:p>
    <w:p>
      <w:pPr>
        <w:spacing w:after="160" w:line="276"/>
      </w:pPr>
      <w:r>
        <w:t xml:space="preserve">The two engines are treated as interchangeable by the adapter but are </w:t>
      </w:r>
      <w:r>
        <w:rPr>
          <w:b/>
          <w:bCs/>
        </w:rPr>
        <w:t xml:space="preserve">not behaviorally equivalent</w:t>
      </w:r>
      <w:r>
        <w:t xml:space="preserve">. Under the default configuration (viscosity 0.1, five nodes, input pressure 100), the reference engine’s latency term </w:t>
      </w:r>
      <w:r>
        <w:rPr>
          <w:rFonts w:ascii="Courier New" w:cs="Courier New" w:eastAsia="Courier New" w:hAnsi="Courier New"/>
          <w:sz w:val="20"/>
          <w:szCs w:val="20"/>
        </w:rPr>
        <w:t xml:space="preserve">0.3·Σ|flow|</w:t>
      </w:r>
      <w:r>
        <w:t xml:space="preserve"> dominates: with flow ≈ ΔP/0.1, the summed flow magnitude is large, driving modeled latency to ~200 ms and efficiency to zero. The fallback avoids this because it derives its gradient from attention values rather than raw node pressures, keeping the complexity penalty small.</w:t>
      </w:r>
    </w:p>
    <w:p>
      <w:pPr>
        <w:spacing w:after="160" w:line="276"/>
      </w:pPr>
      <w:r>
        <w:t xml:space="preserve">Neither model is obviously “correct” — they encode different assumptions about what drives processing cost. The consequence for productionization is concrete: </w:t>
      </w:r>
      <w:r>
        <w:rPr>
          <w:b/>
          <w:bCs/>
        </w:rPr>
        <w:t xml:space="preserve">the committed validation targets are only satisfied by the fallback, and the test suite exercises only the fallback path.</w:t>
      </w:r>
      <w:r>
        <w:t xml:space="preserve"> A migration must choose a canonical latency model and either retune the viscosity/penalty constants or revise the flow term so that the reference engine can meet its own targets. This is tracked as queue item </w:t>
      </w:r>
      <w:r>
        <w:rPr>
          <w:rFonts w:ascii="Courier New" w:cs="Courier New" w:eastAsia="Courier New" w:hAnsi="Courier New"/>
          <w:sz w:val="20"/>
          <w:szCs w:val="20"/>
        </w:rPr>
        <w:t xml:space="preserve">p7-external-latency-divergence</w:t>
      </w:r>
      <w:r>
        <w:t xml:space="preserve">.</w:t>
      </w:r>
    </w:p>
    <w:p>
      <w:pPr>
        <w:pStyle w:val="Heading2"/>
      </w:pPr>
      <w:r>
        <w:t xml:space="preserve">7.3 Latent and unused structure</w:t>
      </w:r>
    </w:p>
    <w:p>
      <w:pPr>
        <w:pStyle w:val="ListParagraph"/>
        <w:numPr>
          <w:ilvl w:val="0"/>
          <w:numId w:val="3"/>
        </w:numPr>
        <w:spacing w:after="80"/>
      </w:pPr>
      <w:r>
        <w:rPr>
          <w:b/>
          <w:bCs/>
        </w:rPr>
        <w:t xml:space="preserve">Logic gates unused. </w:t>
      </w:r>
      <w:r>
        <w:t xml:space="preserve">The five pneumatic gates are instantiated but never invoked; they represent an intended control surface that was never wired in.</w:t>
      </w:r>
    </w:p>
    <w:p>
      <w:pPr>
        <w:pStyle w:val="ListParagraph"/>
        <w:numPr>
          <w:ilvl w:val="0"/>
          <w:numId w:val="3"/>
        </w:numPr>
        <w:spacing w:after="80"/>
      </w:pPr>
      <w:r>
        <w:rPr>
          <w:b/>
          <w:bCs/>
        </w:rPr>
        <w:t xml:space="preserve">Respiration under-utilized. </w:t>
      </w:r>
      <w:r>
        <w:t xml:space="preserve">The coupler computes a rich cognitive-modulation signal, but only the raw cosine-of-phase term influences latency; the modulation itself is reported, not applied.</w:t>
      </w:r>
    </w:p>
    <w:p>
      <w:pPr>
        <w:pStyle w:val="ListParagraph"/>
        <w:numPr>
          <w:ilvl w:val="0"/>
          <w:numId w:val="3"/>
        </w:numPr>
        <w:spacing w:after="80"/>
      </w:pPr>
      <w:r>
        <w:rPr>
          <w:b/>
          <w:bCs/>
        </w:rPr>
        <w:t xml:space="preserve">Wall-clock simulation. </w:t>
      </w:r>
      <w:r>
        <w:t xml:space="preserve">Gates and the processor use real </w:t>
      </w:r>
      <w:r>
        <w:rPr>
          <w:rFonts w:ascii="Courier New" w:cs="Courier New" w:eastAsia="Courier New" w:hAnsi="Courier New"/>
          <w:sz w:val="20"/>
          <w:szCs w:val="20"/>
        </w:rPr>
        <w:t xml:space="preserve">asyncio.sleep</w:t>
      </w:r>
      <w:r>
        <w:t xml:space="preserve"> calls to “simulate” pneumatic delay, making turn time scale with the modeled duration. A production version should use simulated time.</w:t>
      </w:r>
    </w:p>
    <w:p>
      <w:pPr>
        <w:pStyle w:val="Heading1"/>
      </w:pPr>
      <w:r>
        <w:t xml:space="preserve">8. Disposition and Migration Path</w:t>
      </w:r>
    </w:p>
    <w:p>
      <w:pPr>
        <w:spacing w:after="160" w:line="276"/>
      </w:pPr>
      <w:r>
        <w:t xml:space="preserve">Under the salvage docket (P7), the owner selected the </w:t>
      </w:r>
      <w:r>
        <w:rPr>
          <w:b/>
          <w:bCs/>
        </w:rPr>
        <w:t xml:space="preserve">root recovered-prototype archive</w:t>
      </w:r>
      <w:r>
        <w:t xml:space="preserve"> lane. A pristine, hash-verified snapshot (SHA-256 20df6280…, byte-identical to the original docket evidence) is frozen alongside a behavior inventory that serves as the required precursor for any future code migration. The prototype is explicitly </w:t>
      </w:r>
      <w:r>
        <w:rPr>
          <w:b/>
          <w:bCs/>
        </w:rPr>
        <w:t xml:space="preserve">not promoted to canon</w:t>
      </w:r>
      <w:r>
        <w:t xml:space="preserve">.</w:t>
      </w:r>
    </w:p>
    <w:p>
      <w:pPr>
        <w:spacing w:after="160" w:line="276"/>
      </w:pPr>
      <w:r>
        <w:t xml:space="preserve">Should the engine later be routed to a runtime lane (for example, CloudBank), the recommended sequence is:</w:t>
      </w:r>
    </w:p>
    <w:p>
      <w:pPr>
        <w:pStyle w:val="ListParagraph"/>
        <w:numPr>
          <w:ilvl w:val="0"/>
          <w:numId w:val="2"/>
        </w:numPr>
        <w:spacing w:after="80"/>
      </w:pPr>
      <w:r>
        <w:t xml:space="preserve">Resolve the external/fallback latency divergence and adopt a single canonical model.</w:t>
      </w:r>
    </w:p>
    <w:p>
      <w:pPr>
        <w:pStyle w:val="ListParagraph"/>
        <w:numPr>
          <w:ilvl w:val="0"/>
          <w:numId w:val="2"/>
        </w:numPr>
        <w:spacing w:after="80"/>
      </w:pPr>
      <w:r>
        <w:t xml:space="preserve">Decide the fate of the unused logic gates — wire them into flow control or remove them.</w:t>
      </w:r>
    </w:p>
    <w:p>
      <w:pPr>
        <w:pStyle w:val="ListParagraph"/>
        <w:numPr>
          <w:ilvl w:val="0"/>
          <w:numId w:val="2"/>
        </w:numPr>
        <w:spacing w:after="80"/>
      </w:pPr>
      <w:r>
        <w:t xml:space="preserve">Replace wall-clock delays with simulated time and add clamping parity between engines.</w:t>
      </w:r>
    </w:p>
    <w:p>
      <w:pPr>
        <w:pStyle w:val="ListParagraph"/>
        <w:numPr>
          <w:ilvl w:val="0"/>
          <w:numId w:val="2"/>
        </w:numPr>
        <w:spacing w:after="80"/>
      </w:pPr>
      <w:r>
        <w:t xml:space="preserve">Extend the test suite to cover the external engine, not just the fallback.</w:t>
      </w:r>
    </w:p>
    <w:p>
      <w:pPr>
        <w:pStyle w:val="ListParagraph"/>
        <w:numPr>
          <w:ilvl w:val="0"/>
          <w:numId w:val="2"/>
        </w:numPr>
        <w:spacing w:after="80"/>
      </w:pPr>
      <w:r>
        <w:t xml:space="preserve">Re-validate against the committed metrics before any canon promotion.</w:t>
      </w:r>
    </w:p>
    <w:p>
      <w:pPr>
        <w:pStyle w:val="Heading1"/>
      </w:pPr>
      <w:r>
        <w:t xml:space="preserve">9. Verification and Provenance</w:t>
      </w:r>
    </w:p>
    <w:p>
      <w:pPr>
        <w:spacing w:after="160" w:line="276"/>
      </w:pPr>
      <w:r>
        <w:t xml:space="preserve">Consistent with the workspace’s evidence-over-assumption principle, every empirical claim in this paper is backed by a repeatable action. The engine metrics in Table 3 come from direct execution on 2026-07-10; the “7/7 tests pass” claim comes from running the PDP v2 MVP suite; the artifact hash was verified against the docket evidence before any modification. The four research anchors in §2 were each located and characterized via literature search (§10) rather than reproduced from the code’s own annotations — which is how the two fidelity discrepancies (the Jensen timing figure and the Heck inhale/exhale split) were caught.</w:t>
      </w:r>
    </w:p>
    <w:p>
      <w:pPr>
        <w:pStyle w:val="Heading1"/>
      </w:pPr>
      <w:r>
        <w:t xml:space="preserve">10. References</w:t>
      </w:r>
    </w:p>
    <w:p>
      <w:pPr>
        <w:pStyle w:val="ListParagraph"/>
        <w:numPr>
          <w:ilvl w:val="0"/>
          <w:numId w:val="2"/>
        </w:numPr>
        <w:spacing w:after="120"/>
      </w:pPr>
      <w:r>
        <w:t xml:space="preserve">Jensen, E. C., Grover, W. H., &amp; Mathies, R. A. (2007). Micropneumatic digital logic structures for integrated microdevice computation and control. </w:t>
      </w:r>
      <w:r>
        <w:rPr>
          <w:i/>
          <w:iCs/>
        </w:rPr>
        <w:t xml:space="preserve">Journal of Microelectromechanical Systems, 16(6), 1378–1385.</w:t>
      </w:r>
      <w:r>
        <w:t xml:space="preserve">  </w:t>
      </w:r>
      <w:hyperlink w:history="1" r:id="rId6b5htkzfbvewtbw4z98vs">
        <w:r>
          <w:rPr>
            <w:rStyle w:val="Hyperlink"/>
          </w:rPr>
          <w:t xml:space="preserve">https://groverlab.org/assets/pneumatic-logic.pdf</w:t>
        </w:r>
      </w:hyperlink>
    </w:p>
    <w:p>
      <w:pPr>
        <w:pStyle w:val="ListParagraph"/>
        <w:numPr>
          <w:ilvl w:val="0"/>
          <w:numId w:val="2"/>
        </w:numPr>
        <w:spacing w:after="120"/>
      </w:pPr>
      <w:r>
        <w:t xml:space="preserve">Heck, D. H., Kozma, R., &amp; Kay, L. M. (2019). The rhythm of memory: how breathing shapes memory function. </w:t>
      </w:r>
      <w:r>
        <w:rPr>
          <w:i/>
          <w:iCs/>
        </w:rPr>
        <w:t xml:space="preserve">Journal of Neurophysiology, 122(2), 563–571.</w:t>
      </w:r>
      <w:r>
        <w:t xml:space="preserve">  </w:t>
      </w:r>
      <w:hyperlink w:history="1" r:id="rId6mz_0y2ovwgvaezn-kdmb">
        <w:r>
          <w:rPr>
            <w:rStyle w:val="Hyperlink"/>
          </w:rPr>
          <w:t xml:space="preserve">https://journals.physiology.org/doi/pdf/10.1152/jn.00200.2019</w:t>
        </w:r>
      </w:hyperlink>
    </w:p>
    <w:p>
      <w:pPr>
        <w:pStyle w:val="ListParagraph"/>
        <w:numPr>
          <w:ilvl w:val="0"/>
          <w:numId w:val="2"/>
        </w:numPr>
        <w:spacing w:after="120"/>
      </w:pPr>
      <w:r>
        <w:t xml:space="preserve">Zelano, C., et al. (2016). Nasal respiration entrains human limbic oscillations and modulates cognitive function. </w:t>
      </w:r>
      <w:r>
        <w:rPr>
          <w:i/>
          <w:iCs/>
        </w:rPr>
        <w:t xml:space="preserve">Journal of Neuroscience, 36(49), 12448–12467.</w:t>
      </w:r>
      <w:r>
        <w:t xml:space="preserve">  </w:t>
      </w:r>
      <w:hyperlink w:history="1" r:id="rId4dehegkxh6uxk8jbekemu">
        <w:r>
          <w:rPr>
            <w:rStyle w:val="Hyperlink"/>
          </w:rPr>
          <w:t xml:space="preserve">https://www.jneurosci.org/content/36/49/12448</w:t>
        </w:r>
      </w:hyperlink>
    </w:p>
    <w:p>
      <w:pPr>
        <w:pStyle w:val="ListParagraph"/>
        <w:numPr>
          <w:ilvl w:val="0"/>
          <w:numId w:val="2"/>
        </w:numPr>
        <w:spacing w:after="120"/>
      </w:pPr>
      <w:r>
        <w:t xml:space="preserve">Wynn, C. J., Barrett, T. S., &amp; Borrie, S. A. (2022). Rhythm perception, speaking rate entrainment, and conversational quality: A mediated model. </w:t>
      </w:r>
      <w:r>
        <w:rPr>
          <w:i/>
          <w:iCs/>
        </w:rPr>
        <w:t xml:space="preserve">Journal of Speech, Language, and Hearing Research, 65(6), 2187–2203.</w:t>
      </w:r>
      <w:r>
        <w:t xml:space="preserve">  </w:t>
      </w:r>
      <w:hyperlink w:history="1" r:id="rId2-qlv7psh6oqmakynxb0k">
        <w:r>
          <w:rPr>
            <w:rStyle w:val="Hyperlink"/>
          </w:rPr>
          <w:t xml:space="preserve">https://pubs.asha.org/doi/10.1044/2022_JSLHR-21-00293</w:t>
        </w:r>
      </w:hyperlink>
    </w:p>
    <w:p>
      <w:pPr>
        <w:pStyle w:val="ListParagraph"/>
        <w:numPr>
          <w:ilvl w:val="0"/>
          <w:numId w:val="2"/>
        </w:numPr>
        <w:spacing w:after="120"/>
      </w:pPr>
      <w:r>
        <w:t xml:space="preserve">Margulies, D. S., et al. (2016). Situating the default-mode network along a principal gradient of macroscale cortical organization. </w:t>
      </w:r>
      <w:r>
        <w:rPr>
          <w:i/>
          <w:iCs/>
        </w:rPr>
        <w:t xml:space="preserve">PNAS, 113(44), 12574–12579.</w:t>
      </w:r>
      <w:r>
        <w:t xml:space="preserve">  </w:t>
      </w:r>
      <w:hyperlink w:history="1" r:id="rIddybmct0nd5f3rohdi2eyq">
        <w:r>
          <w:rPr>
            <w:rStyle w:val="Hyperlink"/>
          </w:rPr>
          <w:t xml:space="preserve">https://www.pnas.org/doi/10.1073/pnas.1608282113</w:t>
        </w:r>
      </w:hyperlink>
    </w:p>
    <w:p>
      <w:r>
        <w:br w:type="page"/>
      </w:r>
    </w:p>
    <w:p>
      <w:pPr>
        <w:pStyle w:val="Heading1"/>
      </w:pPr>
      <w:r>
        <w:t xml:space="preserve">Appendix A. Artifact 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pPr>
              <w:spacing w:after="0"/>
            </w:pPr>
            <w:r>
              <w:rPr>
                <w:b/>
                <w:bCs/>
                <w:color w:val="FFFFFF"/>
              </w:rPr>
              <w:t xml:space="preserve">Artifact</w:t>
            </w:r>
          </w:p>
        </w:tc>
        <w:tc>
          <w:tcPr>
            <w:tcW w:type="dxa" w:w="576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pPr>
              <w:spacing w:after="0"/>
            </w:pPr>
            <w:r>
              <w:rPr>
                <w:b/>
                <w:bCs/>
                <w:color w:val="FFFFFF"/>
              </w:rPr>
              <w:t xml:space="preserve">Repository path</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Frozen snapshot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archives/recovered_prototypes/biological_pneumatic_engine/biological_pneumatic_engine.py</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Recovery record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archives/recovered_prototypes/biological_pneumatic_engine/RECOVERY_RECORD__2026-07-10.md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Behavior inventory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archives/recovered_prototypes/biological_pneumatic_engine/BEHAVIOR_INVENTORY__2026-07-10.md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Operative engine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projects/Aurora_New_11_9/04_DEVELOPMENT/Python_Modules/biological_pneumatic_engine.py</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PDP v2 adapter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projects/Aurora_New_11_9/04_DEVELOPMENT/Python_Modules/pdp_v2_mvp/core/pneumatic_engine.py</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Validation targets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projects/Aurora_New_11_9/03_SPECIFICATIONS/Bootstrap_Standards/pneumatic_validation_metrics.csv</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Salvage docket (P7)</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reports/analysis/salvage_docket__2026-06-12.md</w:t>
            </w:r>
          </w:p>
        </w:tc>
      </w:tr>
    </w:tbl>
    <w:p>
      <w:pPr>
        <w:spacing w:before="240"/>
      </w:pPr>
      <w:r>
        <w:rPr>
          <w:i/>
          <w:iCs/>
          <w:color w:val="666666"/>
          <w:sz w:val="20"/>
          <w:szCs w:val="20"/>
        </w:rPr>
        <w:t xml:space="preserve">This document is a technical description of a research prototype. It does not assert that the prototype’s biological or cognitive analogies are validated mechanisms; claims of fidelity are bounded by §2 and §7.</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666666"/>
        <w:sz w:val="16"/>
        <w:szCs w:val="16"/>
      </w:rPr>
      <w:t xml:space="preserve">Aurora / ORIONCORE — Recovered Prototype Series (P7)</w:t>
    </w:r>
    <w:r>
      <w:rPr>
        <w:sz w:val="16"/>
        <w:szCs w:val="16"/>
      </w:rPr>
      <w:t xml:space="preserve">	</w:t>
    </w: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color w:val="666666"/>
        <w:sz w:val="16"/>
        <w:szCs w:val="16"/>
      </w:rPr>
      <w:t xml:space="preserve">The Biological Pneumatic Engine — Technical White 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5A88"/>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1F3B57"/>
      <w:sz w:val="26"/>
      <w:szCs w:val="26"/>
    </w:rPr>
  </w:style>
  <w:style w:type="paragraph" w:styleId="Heading3">
    <w:name w:val="Heading 3"/>
    <w:basedOn w:val="Normal"/>
    <w:next w:val="Normal"/>
    <w:qFormat/>
    <w:pPr>
      <w:spacing w:after="80" w:before="160"/>
      <w:outlineLvl w:val="2"/>
    </w:pPr>
    <w:rPr>
      <w:rFonts w:ascii="Arial" w:cs="Arial" w:eastAsia="Arial" w:hAnsi="Arial"/>
      <w:b/>
      <w:bCs/>
      <w:color w:val="1F3B5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6b5htkzfbvewtbw4z98vs" Type="http://schemas.openxmlformats.org/officeDocument/2006/relationships/hyperlink" Target="https://groverlab.org/assets/pneumatic-logic.pdf" TargetMode="External"/><Relationship Id="rId6mz_0y2ovwgvaezn-kdmb" Type="http://schemas.openxmlformats.org/officeDocument/2006/relationships/hyperlink" Target="https://journals.physiology.org/doi/pdf/10.1152/jn.00200.2019" TargetMode="External"/><Relationship Id="rId4dehegkxh6uxk8jbekemu" Type="http://schemas.openxmlformats.org/officeDocument/2006/relationships/hyperlink" Target="https://www.jneurosci.org/content/36/49/12448" TargetMode="External"/><Relationship Id="rId2-qlv7psh6oqmakynxb0k" Type="http://schemas.openxmlformats.org/officeDocument/2006/relationships/hyperlink" Target="https://pubs.asha.org/doi/10.1044/2022_JSLHR-21-00293" TargetMode="External"/><Relationship Id="rIddybmct0nd5f3rohdi2eyq" Type="http://schemas.openxmlformats.org/officeDocument/2006/relationships/hyperlink" Target="https://www.pnas.org/doi/10.1073/pnas.1608282113"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Biological Pneumatic Engine — Technical White Paper</dc:title>
  <dc:creator>Aurora / ORIONCORE</dc:creator>
  <cp:lastModifiedBy>Un-named</cp:lastModifiedBy>
  <cp:revision>1</cp:revision>
  <dcterms:created xsi:type="dcterms:W3CDTF">2026-07-10T15:33:45.285Z</dcterms:created>
  <dcterms:modified xsi:type="dcterms:W3CDTF">2026-07-10T15:33:45.285Z</dcterms:modified>
</cp:coreProperties>
</file>

<file path=docProps/custom.xml><?xml version="1.0" encoding="utf-8"?>
<Properties xmlns="http://schemas.openxmlformats.org/officeDocument/2006/custom-properties" xmlns:vt="http://schemas.openxmlformats.org/officeDocument/2006/docPropsVTypes"/>
</file>