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Borders>
              <w:top w:val="single" w:color="08172E" w:sz="4"/>
              <w:left w:val="single" w:color="08172E" w:sz="4"/>
              <w:bottom w:val="single" w:color="08172E" w:sz="4"/>
              <w:right w:val="single" w:color="08172E" w:sz="4"/>
            </w:tcBorders>
            <w:shd w:fill="08172E" w:val="clear"/>
            <w:tcMar>
              <w:top w:type="dxa" w:w="100"/>
              <w:left w:type="dxa" w:w="160"/>
              <w:bottom w:type="dxa" w:w="100"/>
              <w:right w:type="dxa" w:w="160"/>
            </w:tcMar>
          </w:tcPr>
          <w:p>
            <w:pPr>
              <w:spacing w:after="0" w:before="0"/>
            </w:pPr>
            <w:r>
              <w:rPr>
                <w:rFonts w:ascii="Arial" w:cs="Arial" w:eastAsia="Arial" w:hAnsi="Arial"/>
                <w:b/>
                <w:bCs/>
                <w:color w:val="FFFFFF"/>
                <w:sz w:val="24"/>
                <w:szCs w:val="24"/>
              </w:rPr>
              <w:t xml:space="preserve">MANYTEK ACADEMY</w:t>
            </w:r>
          </w:p>
          <w:p>
            <w:pPr>
              <w:spacing w:after="0" w:before="0"/>
            </w:pPr>
            <w:r>
              <w:rPr>
                <w:rFonts w:ascii="Arial" w:cs="Arial" w:eastAsia="Arial" w:hAnsi="Arial"/>
                <w:color w:val="94A3B8"/>
                <w:sz w:val="15"/>
                <w:szCs w:val="15"/>
              </w:rPr>
              <w:t xml:space="preserve">Cyber Workforce Program  ·  Cohort 1  ·  SOC Operations Track</w:t>
            </w:r>
          </w:p>
          <w:p>
            <w:pPr>
              <w:spacing w:after="0" w:before="0"/>
            </w:pPr>
            <w:r>
              <w:rPr>
                <w:rFonts w:ascii="Arial" w:cs="Arial" w:eastAsia="Arial" w:hAnsi="Arial"/>
                <w:color w:val="64748B"/>
                <w:sz w:val="14"/>
                <w:szCs w:val="14"/>
              </w:rPr>
              <w:t xml:space="preserve">iris.manytekglobal.com  ·  manytekglobal.com</w:t>
            </w:r>
          </w:p>
        </w:tc>
        <w:tc>
          <w:tcPr>
            <w:tcBorders>
              <w:top w:val="single" w:color="B8860B" w:sz="4"/>
              <w:left w:val="single" w:color="B8860B" w:sz="4"/>
              <w:bottom w:val="single" w:color="B8860B" w:sz="4"/>
              <w:right w:val="single" w:color="B8860B" w:sz="4"/>
            </w:tcBorders>
            <w:shd w:fill="B8860B" w:val="clear"/>
            <w:tcMar>
              <w:top w:type="dxa" w:w="100"/>
              <w:left w:type="dxa" w:w="160"/>
              <w:bottom w:type="dxa" w:w="100"/>
              <w:right w:type="dxa" w:w="160"/>
            </w:tcMar>
            <w:vAlign w:val="center"/>
          </w:tcPr>
          <w:p>
            <w:pPr>
              <w:spacing w:after="0" w:before="0"/>
              <w:jc w:val="center"/>
            </w:pPr>
            <w:r>
              <w:rPr>
                <w:rFonts w:ascii="Arial" w:cs="Arial" w:eastAsia="Arial" w:hAnsi="Arial"/>
                <w:b/>
                <w:bCs/>
                <w:color w:val="08172E"/>
                <w:sz w:val="22"/>
                <w:szCs w:val="22"/>
              </w:rPr>
              <w:t xml:space="preserve">INCIDENT REPORT</w:t>
            </w:r>
          </w:p>
          <w:p>
            <w:pPr>
              <w:spacing w:after="0" w:before="0"/>
              <w:jc w:val="center"/>
            </w:pPr>
            <w:r>
              <w:rPr>
                <w:rFonts w:ascii="Courier New" w:cs="Courier New" w:eastAsia="Courier New" w:hAnsi="Courier New"/>
                <w:color w:val="08172E"/>
                <w:sz w:val="16"/>
                <w:szCs w:val="16"/>
              </w:rPr>
              <w:t xml:space="preserve">#116 - [MTA-CWP-C1] MTA-CWP-C1-Phantom-20260618-Week6</w:t>
            </w:r>
          </w:p>
          <w:p>
            <w:pPr>
              <w:spacing w:after="0" w:before="0"/>
              <w:jc w:val="center"/>
            </w:pPr>
            <w:r>
              <w:rPr>
                <w:rFonts w:ascii="Courier New" w:cs="Courier New" w:eastAsia="Courier New" w:hAnsi="Courier New"/>
                <w:color w:val="08172E"/>
                <w:sz w:val="14"/>
                <w:szCs w:val="14"/>
              </w:rPr>
              <w:t xml:space="preserve">Generated: </w:t>
            </w:r>
          </w:p>
        </w:tc>
      </w:tr>
    </w:tbl>
    <w:p>
      <w:pPr>
        <w:spacing w:after="60" w:before="80"/>
      </w:pPr>
      <w:r>
        <w:t xml:space="preserve"/>
      </w:r>
    </w:p>
    <w:p>
      <w:pPr>
        <w:spacing w:after="100" w:before="160"/>
        <w:jc w:val="center"/>
      </w:pPr>
      <w:r>
        <w:rPr>
          <w:rFonts w:ascii="Arial" w:cs="Arial" w:eastAsia="Arial" w:hAnsi="Arial"/>
          <w:b/>
          <w:bCs/>
          <w:color w:val="08172E"/>
          <w:sz w:val="24"/>
          <w:szCs w:val="24"/>
        </w:rPr>
        <w:t xml:space="preserve">CASE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1680"/>
        <w:gridCol w:w="3000"/>
      </w:tblGrid>
      <w:tr>
        <w:tc>
          <w:tcPr>
            <w:gridSpan w:val="1"/>
            <w:tcBorders>
              <w:top w:val="single" w:color="08172E" w:sz="4"/>
              <w:left w:val="single" w:color="08172E" w:sz="4"/>
              <w:bottom w:val="single" w:color="08172E" w:sz="4"/>
              <w:right w:val="single" w:color="08172E" w:sz="4"/>
            </w:tcBorders>
            <w:shd w:fill="08172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Case Name</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1E3A5F"/>
                <w:sz w:val="16"/>
                <w:szCs w:val="16"/>
              </w:rPr>
              <w:t xml:space="preserve">#116 - [MTA-CWP-C1] MTA-CWP-C1-Phantom-20260618-Week6</w:t>
            </w:r>
          </w:p>
        </w:tc>
        <w:tc>
          <w:tcPr>
            <w:gridSpan w:val="1"/>
            <w:tcBorders>
              <w:top w:val="single" w:color="08172E" w:sz="4"/>
              <w:left w:val="single" w:color="08172E" w:sz="4"/>
              <w:bottom w:val="single" w:color="08172E" w:sz="4"/>
              <w:right w:val="single" w:color="08172E" w:sz="4"/>
            </w:tcBorders>
            <w:shd w:fill="08172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Case ID</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1E3A5F"/>
                <w:sz w:val="16"/>
                <w:szCs w:val="16"/>
              </w:rPr>
              <w:t xml:space="preserve">116</w:t>
            </w:r>
          </w:p>
        </w:tc>
      </w:tr>
      <w:tr>
        <w:tc>
          <w:tcPr>
            <w:gridSpan w:val="1"/>
            <w:tcBorders>
              <w:top w:val="single" w:color="08172E" w:sz="4"/>
              <w:left w:val="single" w:color="08172E" w:sz="4"/>
              <w:bottom w:val="single" w:color="08172E" w:sz="4"/>
              <w:right w:val="single" w:color="08172E" w:sz="4"/>
            </w:tcBorders>
            <w:shd w:fill="08172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Analyst</w:t>
            </w:r>
          </w:p>
        </w:tc>
        <w:tc>
          <w:tcPr>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before="0"/>
            </w:pPr>
            <w:r>
              <w:rPr>
                <w:rFonts w:ascii="Courier New" w:cs="Courier New" w:eastAsia="Courier New" w:hAnsi="Courier New"/>
                <w:color w:val="1E3A5F"/>
                <w:sz w:val="16"/>
                <w:szCs w:val="16"/>
              </w:rPr>
              <w:t xml:space="preserve">Alex Vong</w:t>
            </w:r>
          </w:p>
        </w:tc>
        <w:tc>
          <w:tcPr>
            <w:gridSpan w:val="1"/>
            <w:tcBorders>
              <w:top w:val="single" w:color="08172E" w:sz="4"/>
              <w:left w:val="single" w:color="08172E" w:sz="4"/>
              <w:bottom w:val="single" w:color="08172E" w:sz="4"/>
              <w:right w:val="single" w:color="08172E" w:sz="4"/>
            </w:tcBorders>
            <w:shd w:fill="08172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Open Date</w:t>
            </w:r>
          </w:p>
        </w:tc>
        <w:tc>
          <w:tcPr>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before="0"/>
            </w:pPr>
            <w:r>
              <w:rPr>
                <w:rFonts w:ascii="Courier New" w:cs="Courier New" w:eastAsia="Courier New" w:hAnsi="Courier New"/>
                <w:color w:val="1E3A5F"/>
                <w:sz w:val="16"/>
                <w:szCs w:val="16"/>
              </w:rPr>
              <w:t xml:space="preserve">2026-06-24</w:t>
            </w:r>
          </w:p>
        </w:tc>
      </w:tr>
      <w:tr>
        <w:tc>
          <w:tcPr>
            <w:gridSpan w:val="1"/>
            <w:tcBorders>
              <w:top w:val="single" w:color="08172E" w:sz="4"/>
              <w:left w:val="single" w:color="08172E" w:sz="4"/>
              <w:bottom w:val="single" w:color="08172E" w:sz="4"/>
              <w:right w:val="single" w:color="08172E" w:sz="4"/>
            </w:tcBorders>
            <w:shd w:fill="08172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Severity</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1E3A5F"/>
                <w:sz w:val="16"/>
                <w:szCs w:val="16"/>
              </w:rPr>
              <w:t xml:space="preserve">Low</w:t>
            </w:r>
          </w:p>
        </w:tc>
        <w:tc>
          <w:tcPr>
            <w:gridSpan w:val="1"/>
            <w:tcBorders>
              <w:top w:val="single" w:color="08172E" w:sz="4"/>
              <w:left w:val="single" w:color="08172E" w:sz="4"/>
              <w:bottom w:val="single" w:color="08172E" w:sz="4"/>
              <w:right w:val="single" w:color="08172E" w:sz="4"/>
            </w:tcBorders>
            <w:shd w:fill="08172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Status</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1E3A5F"/>
                <w:sz w:val="16"/>
                <w:szCs w:val="16"/>
              </w:rPr>
              <w:t xml:space="preserve">Open</w:t>
            </w:r>
          </w:p>
        </w:tc>
      </w:tr>
      <w:tr>
        <w:tc>
          <w:tcPr>
            <w:gridSpan w:val="1"/>
            <w:tcBorders>
              <w:top w:val="single" w:color="08172E" w:sz="4"/>
              <w:left w:val="single" w:color="08172E" w:sz="4"/>
              <w:bottom w:val="single" w:color="08172E" w:sz="4"/>
              <w:right w:val="single" w:color="08172E" w:sz="4"/>
            </w:tcBorders>
            <w:shd w:fill="08172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Classification</w:t>
            </w:r>
          </w:p>
        </w:tc>
        <w:tc>
          <w:tcPr>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before="0"/>
            </w:pPr>
            <w:r>
              <w:rPr>
                <w:rFonts w:ascii="Courier New" w:cs="Courier New" w:eastAsia="Courier New" w:hAnsi="Courier New"/>
                <w:color w:val="1E3A5F"/>
                <w:sz w:val="16"/>
                <w:szCs w:val="16"/>
              </w:rPr>
              <w:t xml:space="preserve">malicious-code:ransomware</w:t>
            </w:r>
          </w:p>
        </w:tc>
        <w:tc>
          <w:tcPr>
            <w:gridSpan w:val="1"/>
            <w:tcBorders>
              <w:top w:val="single" w:color="08172E" w:sz="4"/>
              <w:left w:val="single" w:color="08172E" w:sz="4"/>
              <w:bottom w:val="single" w:color="08172E" w:sz="4"/>
              <w:right w:val="single" w:color="08172E" w:sz="4"/>
            </w:tcBorders>
            <w:shd w:fill="08172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SOC ID</w:t>
            </w:r>
          </w:p>
        </w:tc>
        <w:tc>
          <w:tcPr>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before="0"/>
            </w:pPr>
            <w:r>
              <w:rPr>
                <w:rFonts w:ascii="Courier New" w:cs="Courier New" w:eastAsia="Courier New" w:hAnsi="Courier New"/>
                <w:color w:val="1E3A5F"/>
                <w:sz w:val="16"/>
                <w:szCs w:val="16"/>
              </w:rPr>
              <w:t xml:space="preserve">Kaseya VSA - Supply Chain Ransomware (REvil)</w:t>
            </w:r>
          </w:p>
        </w:tc>
      </w:tr>
      <w:tr>
        <w:tc>
          <w:tcPr>
            <w:gridSpan w:val="1"/>
            <w:tcBorders>
              <w:top w:val="single" w:color="08172E" w:sz="4"/>
              <w:left w:val="single" w:color="08172E" w:sz="4"/>
              <w:bottom w:val="single" w:color="08172E" w:sz="4"/>
              <w:right w:val="single" w:color="08172E" w:sz="4"/>
            </w:tcBorders>
            <w:shd w:fill="08172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Report Date</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1E3A5F"/>
                <w:sz w:val="16"/>
                <w:szCs w:val="16"/>
              </w:rPr>
              <w:t xml:space="preserve"/>
            </w:r>
          </w:p>
        </w:tc>
        <w:tc>
          <w:tcPr>
            <w:gridSpan w:val="1"/>
            <w:tcBorders>
              <w:top w:val="single" w:color="08172E" w:sz="4"/>
              <w:left w:val="single" w:color="08172E" w:sz="4"/>
              <w:bottom w:val="single" w:color="08172E" w:sz="4"/>
              <w:right w:val="single" w:color="08172E" w:sz="4"/>
            </w:tcBorders>
            <w:shd w:fill="08172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Close Date</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1E3A5F"/>
                <w:sz w:val="16"/>
                <w:szCs w:val="16"/>
              </w:rPr>
              <w:t xml:space="preserve">Open</w:t>
            </w:r>
          </w:p>
        </w:tc>
      </w:tr>
    </w:tbl>
    <w:p>
      <w:pPr>
        <w:spacing w:after="60" w:before="100"/>
      </w:pPr>
      <w:r>
        <w:t xml:space="preserve"/>
      </w:r>
    </w:p>
    <w:p>
      <w:pPr>
        <w:spacing w:after="100" w:before="160"/>
        <w:jc w:val="center"/>
      </w:pPr>
      <w:r>
        <w:rPr>
          <w:rFonts w:ascii="Arial" w:cs="Arial" w:eastAsia="Arial" w:hAnsi="Arial"/>
          <w:b/>
          <w:bCs/>
          <w:color w:val="08172E"/>
          <w:sz w:val="24"/>
          <w:szCs w:val="24"/>
        </w:rPr>
        <w:t xml:space="preserve">INVESTIGATION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spacing w:after="30" w:before="30"/>
            </w:pPr>
            <w:r>
              <w:rPr>
                <w:rFonts w:ascii="Courier New" w:cs="Courier New" w:eastAsia="Courier New" w:hAnsi="Courier New"/>
                <w:color w:val="475569"/>
                <w:sz w:val="18"/>
                <w:szCs w:val="18"/>
              </w:rPr>
              <w:t xml:space="preserve">REvil exploited a zero-day in the Kaseya VSA remote-management platform to push ransomware through trusted MSP tooling, hitting roughly 1,500 downstream businesses in a single coordinated wave.
## Alert Details
**Alert Name:**
2021 - Supply-Chain Ransomware (REvil)
**Alert Severity:** High 
**Detection Timestamp:**
07/02/2021
**Response Timestamp:**
07/03/2021
**MTTD (minutes):**
1,440 (24 hours)
---
## Ransomware Details
**Ransomware Family:**
REvil, also known as Sodinokibi, ransomware-as-a-service (RaaS) group. 
**Ransom Note File Name:**
N/A
**Encrypted File Extension:**
N/A
**First Encryption Timestamp:**
N/A
---
## Affected Entities
**User Account:**
Kaseya's customer accounts
**Device / Hostname:**
N/A
**IP Address:**
N/A
**Number of Files Encrypted:**
N/A
**Shared Drives Affected:**
N/A
---
## Investigation Steps
1. Read to analyze and understand what the attacker's have done.
2. Reserach more to find REvil's TTPs, IoCs, tools used.
3. Discover what went wrong, see the detection gaps, learn what happened and explain how to mitigate this zero-day vulnerability, use KQL query on Sentinel to determine if these activities are in ManyTek environment, and see how this can impact ManyTek environment. 
---
## MITRE ATT Mapping
**Tactic:** TA0040 — Impact
**Technique ID:** T1486
**Technique Name:** Data Encrypted for Impact
---
## Verdict
[x] True Positive — Confirmed
[ ] True Positive — Suspected
[ ] False Positive
[ ] Benign True Positive
**Verdict Rationale:**
Zero-day vulnerabilities can occur to anyone because the vulnerability is going to be exploited especially when there is no patch available. Exploitation to ransomware will particularly affect not just spearphishing ManyTek, but it can affect other organizations and cybersecurity firms, resulting in persistence and disabling accounts, services, softwares, etc. ManyTek has Intrusion Detection and Prevention systems to detect any unusual activities and are capable of responding to cyber threats. More training for ManyTek employees to understand phishing and social engineering is a great practice to have cybersecurity attack awareness and to understand the threat actors motives and TTPs. The current risk level specifically at ManyTek is low because they are prepared for responding, training, and having technical understanding. 
---
## Recommended Action
Protect all Kaseya customers and other companies associated to mitigate the threats as much as possible.
Work on having patch for customers to use; use decryptor to decrypt the systems from REvil ransomware.
Have technical training in how to detect social engineering, phishing, scams, unusual network activities, enable MFA, and have resilience towards cyber threats. 
---
## Analyst Information
**Analyst Name:**
Alex Vong
**Team:**
Phantom
**Cert ID:**
#14</w:t>
            </w:r>
          </w:p>
        </w:tc>
      </w:tr>
    </w:tbl>
    <w:p>
      <w:pPr>
        <w:spacing w:after="60" w:before="100"/>
      </w:pPr>
      <w:r>
        <w:t xml:space="preserve"/>
      </w:r>
    </w:p>
    <w:p>
      <w:pPr>
        <w:spacing w:after="100" w:before="160"/>
        <w:jc w:val="center"/>
      </w:pPr>
      <w:r>
        <w:rPr>
          <w:rFonts w:ascii="Arial" w:cs="Arial" w:eastAsia="Arial" w:hAnsi="Arial"/>
          <w:b/>
          <w:bCs/>
          <w:color w:val="08172E"/>
          <w:sz w:val="24"/>
          <w:szCs w:val="24"/>
        </w:rPr>
        <w:t xml:space="preserve">AFFECTED ASSETS</w:t>
      </w:r>
    </w:p>
    <w:p>
      <w:pPr>
        <w:spacing w:after="30" w:before="30"/>
      </w:pPr>
      <w:r>
        <w:rPr>
          <w:rFonts w:ascii="Courier New" w:cs="Courier New" w:eastAsia="Courier New" w:hAnsi="Courier New"/>
          <w:color w:val="475569"/>
          <w:sz w:val="18"/>
          <w:szCs w:val="18"/>
        </w:rPr>
        <w:t xml:space="preserve"/>
      </w:r>
    </w:p>
    <w:p>
      <w:pPr>
        <w:spacing w:after="40" w:before="40"/>
      </w:pPr>
      <w:r>
        <w:rPr>
          <w:rFonts w:ascii="Arial" w:cs="Arial" w:eastAsia="Arial" w:hAnsi="Arial"/>
          <w:b w:val="false"/>
          <w:bCs w:val="false"/>
          <w:color w:val="475569"/>
          <w:sz w:val="18"/>
          <w:szCs w:val="18"/>
        </w:rPr>
        <w:t xml:space="preserve">No assets recorded for this case.</w:t>
      </w:r>
    </w:p>
    <w:p>
      <w:pPr>
        <w:spacing w:after="30" w:before="30"/>
      </w:pPr>
      <w:r>
        <w:rPr>
          <w:rFonts w:ascii="Courier New" w:cs="Courier New" w:eastAsia="Courier New" w:hAnsi="Courier New"/>
          <w:color w:val="475569"/>
          <w:sz w:val="18"/>
          <w:szCs w:val="18"/>
        </w:rPr>
        <w:t xml:space="preserve"/>
      </w:r>
    </w:p>
    <w:p>
      <w:pPr>
        <w:spacing w:after="60" w:before="100"/>
      </w:pPr>
      <w:r>
        <w:t xml:space="preserve"/>
      </w:r>
    </w:p>
    <w:p>
      <w:pPr>
        <w:spacing w:after="100" w:before="160"/>
        <w:jc w:val="center"/>
      </w:pPr>
      <w:r>
        <w:rPr>
          <w:rFonts w:ascii="Arial" w:cs="Arial" w:eastAsia="Arial" w:hAnsi="Arial"/>
          <w:b/>
          <w:bCs/>
          <w:color w:val="08172E"/>
          <w:sz w:val="24"/>
          <w:szCs w:val="24"/>
        </w:rPr>
        <w:t xml:space="preserve">INDICATORS OF COMPROMISE</w:t>
      </w:r>
    </w:p>
    <w:p>
      <w:pPr>
        <w:spacing w:after="30" w:before="30"/>
      </w:pPr>
      <w:r>
        <w:rPr>
          <w:rFonts w:ascii="Courier New" w:cs="Courier New" w:eastAsia="Courier New" w:hAnsi="Courier New"/>
          <w:color w:val="475569"/>
          <w:sz w:val="18"/>
          <w:szCs w:val="18"/>
        </w:rPr>
        <w:t xml:space="preserve"/>
      </w:r>
    </w:p>
    <w:p>
      <w:pPr>
        <w:spacing w:after="40" w:before="40"/>
      </w:pPr>
      <w:r>
        <w:rPr>
          <w:rFonts w:ascii="Arial" w:cs="Arial" w:eastAsia="Arial" w:hAnsi="Arial"/>
          <w:b w:val="false"/>
          <w:bCs w:val="false"/>
          <w:color w:val="475569"/>
          <w:sz w:val="18"/>
          <w:szCs w:val="18"/>
        </w:rPr>
        <w:t xml:space="preserve">No IOCs recorded for this case.</w:t>
      </w:r>
    </w:p>
    <w:p>
      <w:pPr>
        <w:spacing w:after="30" w:before="30"/>
      </w:pPr>
      <w:r>
        <w:rPr>
          <w:rFonts w:ascii="Courier New" w:cs="Courier New" w:eastAsia="Courier New" w:hAnsi="Courier New"/>
          <w:color w:val="475569"/>
          <w:sz w:val="18"/>
          <w:szCs w:val="18"/>
        </w:rPr>
        <w:t xml:space="preserve"/>
      </w:r>
    </w:p>
    <w:p>
      <w:pPr>
        <w:spacing w:after="60" w:before="100"/>
      </w:pPr>
      <w:r>
        <w:t xml:space="preserve"/>
      </w:r>
    </w:p>
    <w:p>
      <w:pPr>
        <w:spacing w:after="100" w:before="160"/>
        <w:jc w:val="center"/>
      </w:pPr>
      <w:r>
        <w:rPr>
          <w:rFonts w:ascii="Arial" w:cs="Arial" w:eastAsia="Arial" w:hAnsi="Arial"/>
          <w:b/>
          <w:bCs/>
          <w:color w:val="08172E"/>
          <w:sz w:val="24"/>
          <w:szCs w:val="24"/>
        </w:rPr>
        <w:t xml:space="preserve">INVESTIGATION TIMELINE</w:t>
      </w:r>
    </w:p>
    <w:p>
      <w:pPr>
        <w:spacing w:after="30" w:before="30"/>
      </w:pPr>
      <w:r>
        <w:rPr>
          <w:rFonts w:ascii="Courier New" w:cs="Courier New" w:eastAsia="Courier New" w:hAnsi="Courier New"/>
          <w:color w:val="475569"/>
          <w:sz w:val="18"/>
          <w:szCs w:val="18"/>
        </w:rPr>
        <w:t xml:space="preserve"/>
      </w:r>
    </w:p>
    <w:p>
      <w:pPr>
        <w:spacing w:after="40" w:before="40"/>
      </w:pPr>
      <w:r>
        <w:rPr>
          <w:rFonts w:ascii="Arial" w:cs="Arial" w:eastAsia="Arial" w:hAnsi="Arial"/>
          <w:b w:val="false"/>
          <w:bCs w:val="false"/>
          <w:color w:val="475569"/>
          <w:sz w:val="18"/>
          <w:szCs w:val="18"/>
        </w:rPr>
        <w:t xml:space="preserve">No timeline events recorded for this case.</w:t>
      </w:r>
    </w:p>
    <w:p>
      <w:pPr>
        <w:spacing w:after="30" w:before="30"/>
      </w:pPr>
      <w:r>
        <w:rPr>
          <w:rFonts w:ascii="Courier New" w:cs="Courier New" w:eastAsia="Courier New" w:hAnsi="Courier New"/>
          <w:color w:val="475569"/>
          <w:sz w:val="18"/>
          <w:szCs w:val="18"/>
        </w:rPr>
        <w:t xml:space="preserve"/>
      </w:r>
    </w:p>
    <w:p>
      <w:pPr>
        <w:spacing w:after="60" w:before="100"/>
      </w:pPr>
      <w:r>
        <w:t xml:space="preserve"/>
      </w:r>
    </w:p>
    <w:p>
      <w:pPr>
        <w:spacing w:after="100" w:before="160"/>
        <w:jc w:val="center"/>
      </w:pPr>
      <w:r>
        <w:rPr>
          <w:rFonts w:ascii="Arial" w:cs="Arial" w:eastAsia="Arial" w:hAnsi="Arial"/>
          <w:b/>
          <w:bCs/>
          <w:color w:val="08172E"/>
          <w:sz w:val="24"/>
          <w:szCs w:val="24"/>
        </w:rPr>
        <w:t xml:space="preserve">INVESTIGATION TASKS</w:t>
      </w:r>
    </w:p>
    <w:p>
      <w:pPr>
        <w:spacing w:after="30" w:before="30"/>
      </w:pPr>
      <w:r>
        <w:rPr>
          <w:rFonts w:ascii="Courier New" w:cs="Courier New" w:eastAsia="Courier New" w:hAnsi="Courier New"/>
          <w:color w:val="475569"/>
          <w:sz w:val="18"/>
          <w:szCs w:val="18"/>
        </w:rPr>
        <w:t xml:space="preserve"/>
      </w:r>
    </w:p>
    <w:p>
      <w:pPr>
        <w:spacing w:after="40" w:before="40"/>
      </w:pPr>
      <w:r>
        <w:rPr>
          <w:rFonts w:ascii="Arial" w:cs="Arial" w:eastAsia="Arial" w:hAnsi="Arial"/>
          <w:b w:val="false"/>
          <w:bCs w:val="false"/>
          <w:color w:val="475569"/>
          <w:sz w:val="18"/>
          <w:szCs w:val="18"/>
        </w:rPr>
        <w:t xml:space="preserve">No tasks recorded for this case.</w:t>
      </w:r>
    </w:p>
    <w:p>
      <w:pPr>
        <w:spacing w:after="30" w:before="30"/>
      </w:pPr>
      <w:r>
        <w:rPr>
          <w:rFonts w:ascii="Courier New" w:cs="Courier New" w:eastAsia="Courier New" w:hAnsi="Courier New"/>
          <w:color w:val="475569"/>
          <w:sz w:val="18"/>
          <w:szCs w:val="18"/>
        </w:rPr>
        <w:t xml:space="preserve"/>
      </w:r>
    </w:p>
    <w:p>
      <w:pPr>
        <w:spacing w:after="60" w:before="100"/>
      </w:pPr>
      <w:r>
        <w:t xml:space="preserve"/>
      </w:r>
    </w:p>
    <w:p>
      <w:pPr>
        <w:spacing w:after="100" w:before="160"/>
        <w:jc w:val="center"/>
      </w:pPr>
      <w:r>
        <w:rPr>
          <w:rFonts w:ascii="Arial" w:cs="Arial" w:eastAsia="Arial" w:hAnsi="Arial"/>
          <w:b/>
          <w:bCs/>
          <w:color w:val="08172E"/>
          <w:sz w:val="24"/>
          <w:szCs w:val="24"/>
        </w:rPr>
        <w:t xml:space="preserve">INVESTIGATION NOTES</w:t>
      </w:r>
    </w:p>
    <w:p>
      <w:pPr>
        <w:spacing w:after="30" w:before="30"/>
      </w:pPr>
      <w:r>
        <w:rPr>
          <w:rFonts w:ascii="Courier New" w:cs="Courier New" w:eastAsia="Courier New" w:hAnsi="Courier New"/>
          <w:color w:val="475569"/>
          <w:sz w:val="18"/>
          <w:szCs w:val="18"/>
        </w:rPr>
        <w:t xml:space="preserve"/>
      </w:r>
    </w:p>
    <w:p>
      <w:pPr>
        <w:spacing w:after="40" w:before="40"/>
      </w:pPr>
      <w:r>
        <w:rPr>
          <w:rFonts w:ascii="Arial" w:cs="Arial" w:eastAsia="Arial" w:hAnsi="Arial"/>
          <w:b w:val="false"/>
          <w:bCs w:val="false"/>
          <w:color w:val="475569"/>
          <w:sz w:val="18"/>
          <w:szCs w:val="18"/>
        </w:rPr>
        <w:t xml:space="preserve">No notes recorded for this case.</w:t>
      </w:r>
    </w:p>
    <w:p>
      <w:pPr>
        <w:spacing w:after="30" w:before="30"/>
      </w:pPr>
      <w:r>
        <w:rPr>
          <w:rFonts w:ascii="Courier New" w:cs="Courier New" w:eastAsia="Courier New" w:hAnsi="Courier New"/>
          <w:color w:val="475569"/>
          <w:sz w:val="18"/>
          <w:szCs w:val="18"/>
        </w:rPr>
        <w:t xml:space="preserve"/>
      </w:r>
    </w:p>
    <w:p>
      <w:pPr>
        <w:spacing w:after="60" w:before="100"/>
      </w:pPr>
      <w:r>
        <w:t xml:space="preserve"/>
      </w:r>
    </w:p>
    <w:p>
      <w:pPr>
        <w:spacing w:after="100" w:before="160"/>
        <w:jc w:val="center"/>
      </w:pPr>
      <w:r>
        <w:rPr>
          <w:rFonts w:ascii="Arial" w:cs="Arial" w:eastAsia="Arial" w:hAnsi="Arial"/>
          <w:b/>
          <w:bCs/>
          <w:color w:val="08172E"/>
          <w:sz w:val="24"/>
          <w:szCs w:val="24"/>
        </w:rPr>
        <w:t xml:space="preserve">VERDICT AND RECOMMENDED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860B" w:sz="6"/>
              <w:left w:val="single" w:color="B8860B" w:sz="6"/>
              <w:bottom w:val="single" w:color="B8860B" w:sz="6"/>
              <w:right w:val="single" w:color="B8860B" w:sz="4"/>
            </w:tcBorders>
            <w:shd w:fill="FFFBEB" w:val="clear"/>
            <w:tcMar>
              <w:top w:type="dxa" w:w="120"/>
              <w:left w:type="dxa" w:w="160"/>
              <w:bottom w:type="dxa" w:w="120"/>
              <w:right w:type="dxa" w:w="160"/>
            </w:tcMar>
          </w:tcPr>
          <w:p>
            <w:pPr>
              <w:spacing w:after="60" w:before="0"/>
            </w:pPr>
            <w:r>
              <w:rPr>
                <w:rFonts w:ascii="Arial" w:cs="Arial" w:eastAsia="Arial" w:hAnsi="Arial"/>
                <w:b/>
                <w:bCs/>
                <w:color w:val="92400E"/>
                <w:sz w:val="20"/>
                <w:szCs w:val="20"/>
              </w:rPr>
              <w:t xml:space="preserve">See Verdict Rationale in Investigation Notes above.</w:t>
            </w:r>
          </w:p>
          <w:p>
            <w:pPr>
              <w:spacing w:after="0" w:before="0"/>
            </w:pPr>
            <w:r>
              <w:rPr>
                <w:rFonts w:ascii="Arial" w:cs="Arial" w:eastAsia="Arial" w:hAnsi="Arial"/>
                <w:color w:val="1E293B"/>
                <w:sz w:val="18"/>
                <w:szCs w:val="18"/>
              </w:rPr>
              <w:t xml:space="preserve">All verdict details, ATTCK mapping, and recommended actions are documented in the Notes section.</w:t>
            </w:r>
          </w:p>
        </w:tc>
      </w:tr>
    </w:tbl>
    <w:p>
      <w:pPr>
        <w:spacing w:after="60" w:before="100"/>
      </w:pPr>
      <w:r>
        <w:t xml:space="preserve"/>
      </w:r>
    </w:p>
    <w:p>
      <w:pPr>
        <w:spacing w:after="100" w:before="160"/>
        <w:jc w:val="center"/>
      </w:pPr>
      <w:r>
        <w:rPr>
          <w:rFonts w:ascii="Arial" w:cs="Arial" w:eastAsia="Arial" w:hAnsi="Arial"/>
          <w:b/>
          <w:bCs/>
          <w:color w:val="08172E"/>
          <w:sz w:val="24"/>
          <w:szCs w:val="24"/>
        </w:rPr>
        <w:t xml:space="preserve">ANALYST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gridSpan w:val="1"/>
            <w:tcBorders>
              <w:top w:val="single" w:color="08172E" w:sz="4"/>
              <w:left w:val="single" w:color="08172E" w:sz="4"/>
              <w:bottom w:val="single" w:color="08172E" w:sz="4"/>
              <w:right w:val="single" w:color="08172E" w:sz="4"/>
            </w:tcBorders>
            <w:shd w:fill="08172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Analyst</w:t>
            </w:r>
          </w:p>
        </w:tc>
        <w:tc>
          <w:tcPr>
            <w:gridSpan w:val="1"/>
            <w:tcBorders>
              <w:top w:val="single" w:color="08172E" w:sz="4"/>
              <w:left w:val="single" w:color="08172E" w:sz="4"/>
              <w:bottom w:val="single" w:color="08172E" w:sz="4"/>
              <w:right w:val="single" w:color="08172E" w:sz="4"/>
            </w:tcBorders>
            <w:shd w:fill="08172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Report Generated</w:t>
            </w:r>
          </w:p>
        </w:tc>
        <w:tc>
          <w:tcPr>
            <w:gridSpan w:val="1"/>
            <w:tcBorders>
              <w:top w:val="single" w:color="08172E" w:sz="4"/>
              <w:left w:val="single" w:color="08172E" w:sz="4"/>
              <w:bottom w:val="single" w:color="08172E" w:sz="4"/>
              <w:right w:val="single" w:color="08172E" w:sz="4"/>
            </w:tcBorders>
            <w:shd w:fill="08172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Case ID</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1E3A5F"/>
                <w:sz w:val="18"/>
                <w:szCs w:val="18"/>
              </w:rPr>
              <w:t xml:space="preserve">Alex Vong</w:t>
            </w:r>
          </w:p>
        </w:tc>
        <w:tc>
          <w:tcPr>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before="0"/>
            </w:pPr>
            <w:r>
              <w:rPr>
                <w:rFonts w:ascii="Courier New" w:cs="Courier New" w:eastAsia="Courier New" w:hAnsi="Courier New"/>
                <w:color w:val="1E3A5F"/>
                <w:sz w:val="18"/>
                <w:szCs w:val="18"/>
              </w:rPr>
              <w:t xml:space="preserve"/>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1E3A5F"/>
                <w:sz w:val="18"/>
                <w:szCs w:val="18"/>
              </w:rPr>
              <w:t xml:space="preserve">116</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172E" w:sz="4"/>
              <w:left w:val="single" w:color="08172E" w:sz="4"/>
              <w:bottom w:val="single" w:color="08172E" w:sz="4"/>
              <w:right w:val="single" w:color="08172E" w:sz="4"/>
            </w:tcBorders>
            <w:shd w:fill="08172E" w:val="clear"/>
            <w:tcMar>
              <w:top w:type="dxa" w:w="100"/>
              <w:left w:type="dxa" w:w="160"/>
              <w:bottom w:type="dxa" w:w="100"/>
              <w:right w:type="dxa" w:w="160"/>
            </w:tcMar>
          </w:tcPr>
          <w:p>
            <w:pPr>
              <w:spacing w:after="40" w:before="0"/>
              <w:jc w:val="center"/>
            </w:pPr>
            <w:r>
              <w:rPr>
                <w:rFonts w:ascii="Arial" w:cs="Arial" w:eastAsia="Arial" w:hAnsi="Arial"/>
                <w:color w:val="94A3B8"/>
                <w:sz w:val="15"/>
                <w:szCs w:val="15"/>
              </w:rPr>
              <w:t xml:space="preserve">ManyTek Academy  ·  Cohort 1  ·  SOC Operations Track  ·  Confidential</w:t>
            </w:r>
          </w:p>
          <w:p>
            <w:pPr>
              <w:spacing w:after="0" w:before="0"/>
              <w:jc w:val="center"/>
            </w:pPr>
            <w:r>
              <w:rPr>
                <w:rFonts w:ascii="Arial" w:cs="Arial" w:eastAsia="Arial" w:hAnsi="Arial"/>
                <w:b/>
                <w:bCs/>
                <w:color w:val="B8860B"/>
                <w:sz w:val="15"/>
                <w:szCs w:val="15"/>
              </w:rPr>
              <w:t xml:space="preserve">iris.manytekglobal.com  ·  manytekglobal.com</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2026-05-10T22:34:08.551Z</dcterms:created>
  <dcterms:modified xsi:type="dcterms:W3CDTF">2026-05-10T22:34:08.569Z</dcterms:modified>
</cp:coreProperties>
</file>

<file path=docProps/custom.xml><?xml version="1.0" encoding="utf-8"?>
<Properties xmlns="http://schemas.openxmlformats.org/officeDocument/2006/custom-properties" xmlns:vt="http://schemas.openxmlformats.org/officeDocument/2006/docPropsVTypes"/>
</file>