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1AE10681"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F21817">
        <w:rPr>
          <w:color w:val="auto"/>
        </w:rPr>
        <w:t>64</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4D40BC22" w:rsidR="000F0732" w:rsidRDefault="000F0732" w:rsidP="0009750C">
            <w:pPr>
              <w:jc w:val="center"/>
              <w:rPr>
                <w:rFonts w:ascii="Consolas" w:hAnsi="Consolas" w:cstheme="minorHAnsi"/>
              </w:rPr>
            </w:pPr>
            <w:r>
              <w:rPr>
                <w:rFonts w:ascii="Consolas" w:hAnsi="Consolas" w:cstheme="minorHAnsi"/>
              </w:rPr>
              <w:t xml:space="preserve">       </w:t>
            </w:r>
            <w:r w:rsidR="001072B9">
              <w:rPr>
                <w:rFonts w:ascii="Consolas" w:hAnsi="Consolas" w:cstheme="minorHAnsi"/>
              </w:rPr>
              <w:t>512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494C04BA" w:rsidR="000F0732" w:rsidRDefault="000F0732" w:rsidP="0009750C">
            <w:pPr>
              <w:jc w:val="center"/>
              <w:rPr>
                <w:rFonts w:ascii="Consolas" w:hAnsi="Consolas"/>
              </w:rPr>
            </w:pPr>
            <w:r>
              <w:rPr>
                <w:rFonts w:ascii="Consolas" w:hAnsi="Consolas"/>
              </w:rPr>
              <w:t xml:space="preserve">  </w:t>
            </w:r>
            <w:r w:rsidR="00F21817">
              <w:rPr>
                <w:rFonts w:ascii="Consolas" w:hAnsi="Consolas"/>
              </w:rPr>
              <w:t>64</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1701062E" w:rsidR="000F0732" w:rsidRPr="00097E36" w:rsidRDefault="000F0732" w:rsidP="0009750C">
            <w:pPr>
              <w:jc w:val="center"/>
              <w:rPr>
                <w:rFonts w:ascii="Consolas" w:eastAsia="Arial" w:hAnsi="Consolas" w:cs="Arial"/>
              </w:rPr>
            </w:pPr>
            <w:r>
              <w:rPr>
                <w:rFonts w:ascii="Consolas" w:eastAsia="Arial" w:hAnsi="Consolas" w:cs="Arial"/>
              </w:rPr>
              <w:t xml:space="preserve">       5</w:t>
            </w:r>
            <w:r w:rsidR="001072B9">
              <w:rPr>
                <w:rFonts w:ascii="Consolas" w:eastAsia="Arial" w:hAnsi="Consolas" w:cs="Arial"/>
              </w:rPr>
              <w:t>12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090A71E9" w:rsidR="000F0732" w:rsidRPr="00097E36" w:rsidRDefault="00674F75" w:rsidP="0009750C">
            <w:pPr>
              <w:jc w:val="center"/>
              <w:rPr>
                <w:rFonts w:ascii="Consolas" w:eastAsia="Arial" w:hAnsi="Consolas" w:cs="Arial"/>
              </w:rPr>
            </w:pPr>
            <w:r w:rsidRPr="00674F75">
              <w:rPr>
                <w:rFonts w:ascii="Consolas" w:eastAsia="Arial" w:hAnsi="Consolas" w:cs="Arial"/>
              </w:rPr>
              <w:t>FB5C1A08F8774486E6A0049A899042F6</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4BADB965"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1072B9" w:rsidRPr="001072B9">
              <w:rPr>
                <w:rFonts w:ascii="Consolas" w:eastAsia="Arial" w:hAnsi="Consolas" w:cs="Arial"/>
              </w:rPr>
              <w:t>728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492DCB83"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10,862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5FEF269E"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156718">
              <w:rPr>
                <w:rFonts w:ascii="Consolas" w:eastAsia="Arial" w:hAnsi="Consolas" w:cs="Arial"/>
              </w:rPr>
              <w:t>486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7170C23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156718">
              <w:rPr>
                <w:rFonts w:ascii="Consolas" w:eastAsia="Arial" w:hAnsi="Consolas" w:cs="Arial"/>
              </w:rPr>
              <w:t>744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4844F790"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391</w:t>
            </w:r>
            <w:r>
              <w:rPr>
                <w:rFonts w:ascii="Consolas" w:eastAsia="Arial" w:hAnsi="Consolas" w:cs="Arial"/>
              </w:rPr>
              <w:t>,</w:t>
            </w:r>
            <w:r w:rsidRPr="00156718">
              <w:rPr>
                <w:rFonts w:ascii="Consolas" w:eastAsia="Arial" w:hAnsi="Consolas" w:cs="Arial"/>
              </w:rPr>
              <w:t>088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65C8BF29"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156718">
              <w:rPr>
                <w:rFonts w:ascii="Consolas" w:eastAsia="Arial" w:hAnsi="Consolas" w:cs="Arial"/>
              </w:rPr>
              <w:t>842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21BAE9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Some of the formats have been revised in the</w:t>
      </w:r>
      <w:r>
        <w:rPr>
          <w:sz w:val="28"/>
          <w:szCs w:val="28"/>
        </w:rPr>
        <w:t xml:space="preserve"> </w:t>
      </w:r>
      <w:r w:rsidR="00197DF0" w:rsidRPr="00F10218">
        <w:rPr>
          <w:sz w:val="28"/>
          <w:szCs w:val="28"/>
        </w:rPr>
        <w:t>Ω</w:t>
      </w:r>
      <w:r w:rsidR="00197DF0">
        <w:rPr>
          <w:sz w:val="28"/>
          <w:szCs w:val="28"/>
        </w:rPr>
        <w:t>-Series.</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proofErr w:type="spellStart"/>
      <w:r w:rsidR="00CD5564" w:rsidRPr="00CD5564">
        <w:rPr>
          <w:rFonts w:cstheme="minorHAnsi"/>
          <w:color w:val="000000" w:themeColor="text1"/>
          <w:sz w:val="28"/>
          <w:szCs w:val="28"/>
        </w:rPr>
        <w:t>superceding</w:t>
      </w:r>
      <w:proofErr w:type="spellEnd"/>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proofErr w:type="gramStart"/>
      <w:r w:rsidR="009B5444">
        <w:rPr>
          <w:sz w:val="28"/>
          <w:szCs w:val="28"/>
        </w:rPr>
        <w:t>OOVKeys</w:t>
      </w:r>
      <w:proofErr w:type="spellEnd"/>
      <w:r w:rsidR="009B5444">
        <w:rPr>
          <w:sz w:val="28"/>
          <w:szCs w:val="28"/>
        </w:rPr>
        <w:t xml:space="preserve">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w:t>
      </w:r>
      <w:proofErr w:type="spellStart"/>
      <w:r>
        <w:rPr>
          <w:sz w:val="20"/>
          <w:szCs w:val="20"/>
        </w:rPr>
        <w:t>Omega.data</w:t>
      </w:r>
      <w:proofErr w:type="spellEnd"/>
      <w:r>
        <w:rPr>
          <w:sz w:val="20"/>
          <w:szCs w:val="20"/>
        </w:rPr>
        <w:t>;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proofErr w:type="spellStart"/>
      <w:r w:rsidR="00815D37">
        <w:rPr>
          <w:b/>
          <w:sz w:val="20"/>
          <w:szCs w:val="20"/>
        </w:rPr>
        <w:t>X</w:t>
      </w:r>
      <w:r w:rsidR="00815D37" w:rsidRPr="00916473">
        <w:rPr>
          <w:b/>
          <w:i/>
          <w:sz w:val="20"/>
          <w:szCs w:val="20"/>
        </w:rPr>
        <w:t>ym</w:t>
      </w:r>
      <w:proofErr w:type="spellEnd"/>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w:t>
      </w:r>
      <w:proofErr w:type="gramStart"/>
      <w:r w:rsidR="00815D37">
        <w:rPr>
          <w:sz w:val="20"/>
          <w:szCs w:val="20"/>
        </w:rPr>
        <w:t xml:space="preserve">2020;  </w:t>
      </w:r>
      <w:r w:rsidR="00815D37" w:rsidRPr="00BA011B">
        <w:rPr>
          <w:sz w:val="20"/>
          <w:szCs w:val="20"/>
        </w:rPr>
        <w:t>(</w:t>
      </w:r>
      <w:proofErr w:type="gramEnd"/>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proofErr w:type="spellStart"/>
      <w:r w:rsidR="00B5441C">
        <w:rPr>
          <w:i/>
          <w:iCs/>
          <w:sz w:val="20"/>
          <w:szCs w:val="20"/>
        </w:rPr>
        <w:t>FoundationsGenerator</w:t>
      </w:r>
      <w:r w:rsidR="00B5441C" w:rsidRPr="0070596E">
        <w:rPr>
          <w:i/>
          <w:iCs/>
          <w:sz w:val="20"/>
          <w:szCs w:val="20"/>
        </w:rPr>
        <w:t>.csproj</w:t>
      </w:r>
      <w:proofErr w:type="spellEnd"/>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6ECEE2A0"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2B4D" w14:textId="77777777" w:rsidR="00A0538D" w:rsidRDefault="00A0538D" w:rsidP="00DC16A1">
      <w:pPr>
        <w:spacing w:after="0" w:line="240" w:lineRule="auto"/>
      </w:pPr>
      <w:r>
        <w:separator/>
      </w:r>
    </w:p>
  </w:endnote>
  <w:endnote w:type="continuationSeparator" w:id="0">
    <w:p w14:paraId="0740C5D6" w14:textId="77777777" w:rsidR="00A0538D" w:rsidRDefault="00A0538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7926E" w14:textId="77777777" w:rsidR="00A0538D" w:rsidRDefault="00A0538D" w:rsidP="00DC16A1">
      <w:pPr>
        <w:spacing w:after="0" w:line="240" w:lineRule="auto"/>
      </w:pPr>
      <w:r>
        <w:separator/>
      </w:r>
    </w:p>
  </w:footnote>
  <w:footnote w:type="continuationSeparator" w:id="0">
    <w:p w14:paraId="492C1A8A" w14:textId="77777777" w:rsidR="00A0538D" w:rsidRDefault="00A0538D"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5E22A60"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34DC2740"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15</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34</cp:revision>
  <cp:lastPrinted>2023-01-14T05:57:00Z</cp:lastPrinted>
  <dcterms:created xsi:type="dcterms:W3CDTF">2023-01-26T04:38:00Z</dcterms:created>
  <dcterms:modified xsi:type="dcterms:W3CDTF">2023-01-30T05:34:00Z</dcterms:modified>
</cp:coreProperties>
</file>