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27C2BD7D"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For the first time, the revision to 3.5 of the Omega release utilized the 3.2 Omega rlease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Pr="00BE1B68" w:rsidRDefault="0086016C" w:rsidP="00BB321A">
      <w:pPr>
        <w:spacing w:after="0" w:line="240" w:lineRule="auto"/>
        <w:ind w:left="360" w:hanging="360"/>
        <w:jc w:val="both"/>
        <w:rPr>
          <w:sz w:val="18"/>
          <w:szCs w:val="18"/>
        </w:rPr>
      </w:pPr>
      <w:r w:rsidRPr="00BE1B68">
        <w:rPr>
          <w:sz w:val="18"/>
          <w:szCs w:val="18"/>
        </w:rPr>
        <w:t>#1</w:t>
      </w:r>
      <w:r w:rsidRPr="00BE1B68">
        <w:rPr>
          <w:sz w:val="18"/>
          <w:szCs w:val="18"/>
        </w:rPr>
        <w:tab/>
      </w:r>
      <w:r w:rsidR="00815D37" w:rsidRPr="00BE1B68">
        <w:rPr>
          <w:sz w:val="18"/>
          <w:szCs w:val="18"/>
        </w:rPr>
        <w:t xml:space="preserve">Digital-AV revision numbers use a three-digit character sequence, plus an optional suffix/subscript.  Revision numbers begin with the letter </w:t>
      </w:r>
      <w:r w:rsidR="00815D37" w:rsidRPr="00BE1B68">
        <w:rPr>
          <w:b/>
          <w:sz w:val="18"/>
          <w:szCs w:val="18"/>
        </w:rPr>
        <w:t xml:space="preserve">Z </w:t>
      </w:r>
      <w:r w:rsidR="00815D37" w:rsidRPr="00BE1B68">
        <w:rPr>
          <w:bCs/>
          <w:sz w:val="18"/>
          <w:szCs w:val="18"/>
        </w:rPr>
        <w:t>or</w:t>
      </w:r>
      <w:r w:rsidR="00815D37" w:rsidRPr="00BE1B68">
        <w:rPr>
          <w:b/>
          <w:sz w:val="18"/>
          <w:szCs w:val="18"/>
        </w:rPr>
        <w:t xml:space="preserve"> </w:t>
      </w:r>
      <w:r w:rsidR="00815D37" w:rsidRPr="00BE1B68">
        <w:rPr>
          <w:rFonts w:cstheme="minorHAnsi"/>
          <w:b/>
          <w:bCs/>
          <w:sz w:val="18"/>
          <w:szCs w:val="18"/>
        </w:rPr>
        <w:t>Ω</w:t>
      </w:r>
      <w:r w:rsidR="00815D37" w:rsidRPr="00BE1B68">
        <w:rPr>
          <w:sz w:val="18"/>
          <w:szCs w:val="18"/>
        </w:rPr>
        <w:t xml:space="preserve">.  The next two characters represent year and month of the revision. The character sequence is </w:t>
      </w:r>
      <w:r w:rsidR="00815D37" w:rsidRPr="00BE1B68">
        <w:rPr>
          <w:b/>
          <w:sz w:val="18"/>
          <w:szCs w:val="18"/>
        </w:rPr>
        <w:t>X</w:t>
      </w:r>
      <w:r w:rsidR="00815D37" w:rsidRPr="00BE1B68">
        <w:rPr>
          <w:b/>
          <w:i/>
          <w:sz w:val="18"/>
          <w:szCs w:val="18"/>
        </w:rPr>
        <w:t>ym</w:t>
      </w:r>
      <w:r w:rsidR="00815D37" w:rsidRPr="00BE1B68">
        <w:rPr>
          <w:sz w:val="18"/>
          <w:szCs w:val="18"/>
        </w:rPr>
        <w:t xml:space="preserve"> where X is either </w:t>
      </w:r>
      <w:r w:rsidR="00815D37" w:rsidRPr="00BE1B68">
        <w:rPr>
          <w:b/>
          <w:bCs/>
          <w:sz w:val="18"/>
          <w:szCs w:val="18"/>
        </w:rPr>
        <w:t>Z</w:t>
      </w:r>
      <w:r w:rsidR="00815D37" w:rsidRPr="00BE1B68">
        <w:rPr>
          <w:sz w:val="18"/>
          <w:szCs w:val="18"/>
        </w:rPr>
        <w:t xml:space="preserve"> or </w:t>
      </w:r>
      <w:r w:rsidR="00815D37" w:rsidRPr="00BE1B68">
        <w:rPr>
          <w:rFonts w:cstheme="minorHAnsi"/>
          <w:b/>
          <w:bCs/>
          <w:sz w:val="18"/>
          <w:szCs w:val="18"/>
        </w:rPr>
        <w:t>Ω</w:t>
      </w:r>
      <w:r w:rsidR="00815D37" w:rsidRPr="00BE1B68">
        <w:rPr>
          <w:sz w:val="18"/>
          <w:szCs w:val="18"/>
        </w:rPr>
        <w:t>, indicating either “Z-series” or “</w:t>
      </w:r>
      <w:r w:rsidR="00815D37" w:rsidRPr="00BE1B68">
        <w:rPr>
          <w:rFonts w:cstheme="minorHAnsi"/>
          <w:sz w:val="18"/>
          <w:szCs w:val="18"/>
        </w:rPr>
        <w:t>Ω-series”</w:t>
      </w:r>
      <w:r w:rsidR="00815D37" w:rsidRPr="00BE1B68">
        <w:rPr>
          <w:sz w:val="18"/>
          <w:szCs w:val="18"/>
        </w:rPr>
        <w:t xml:space="preserve"> of the SDK (this also distinguishes the release from older Digital-AV SDK editions);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An optional single letter/number subscript is usually included.  If the subscript is a Greek letter (</w:t>
      </w:r>
      <w:r w:rsidR="00815D37" w:rsidRPr="00BE1B68">
        <w:rPr>
          <w:rFonts w:cstheme="minorHAnsi"/>
          <w:sz w:val="18"/>
          <w:szCs w:val="18"/>
        </w:rPr>
        <w:t>α or β)</w:t>
      </w:r>
      <w:r w:rsidR="00815D37" w:rsidRPr="00BE1B68">
        <w:rPr>
          <w:sz w:val="18"/>
          <w:szCs w:val="18"/>
        </w:rPr>
        <w:t xml:space="preserve">, then this is alpha or beta. Subscript </w:t>
      </w:r>
      <w:r w:rsidR="00815D37" w:rsidRPr="00BE1B68">
        <w:rPr>
          <w:i/>
          <w:iCs/>
          <w:sz w:val="18"/>
          <w:szCs w:val="18"/>
        </w:rPr>
        <w:t>x</w:t>
      </w:r>
      <w:r w:rsidR="00815D37" w:rsidRPr="00BE1B68">
        <w:rPr>
          <w:sz w:val="18"/>
          <w:szCs w:val="18"/>
        </w:rPr>
        <w:t xml:space="preserve"> indicates that it is soon to be defunct.  Otherwise, subscript is calendar day of the release, encoded in base-32; the 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1</w:t>
      </w:r>
      <w:r w:rsidR="00815D37" w:rsidRPr="00BE1B68">
        <w:rPr>
          <w:sz w:val="18"/>
          <w:szCs w:val="18"/>
        </w:rPr>
        <w:t>,  2</w:t>
      </w:r>
      <w:r w:rsidR="00815D37" w:rsidRPr="00BE1B68">
        <w:rPr>
          <w:sz w:val="18"/>
          <w:szCs w:val="18"/>
          <w:vertAlign w:val="superscript"/>
        </w:rPr>
        <w:t>nd</w:t>
      </w:r>
      <w:r w:rsidR="00815D37" w:rsidRPr="00BE1B68">
        <w:rPr>
          <w:sz w:val="18"/>
          <w:szCs w:val="18"/>
        </w:rPr>
        <w:sym w:font="Wingdings" w:char="F0E0"/>
      </w:r>
      <w:r w:rsidR="00815D37" w:rsidRPr="00BE1B68">
        <w:rPr>
          <w:i/>
          <w:iCs/>
          <w:sz w:val="18"/>
          <w:szCs w:val="18"/>
        </w:rPr>
        <w:t>2</w:t>
      </w:r>
      <w:r w:rsidR="00815D37" w:rsidRPr="00BE1B68">
        <w:rPr>
          <w:sz w:val="18"/>
          <w:szCs w:val="18"/>
        </w:rPr>
        <w:t>, … ,  9</w:t>
      </w:r>
      <w:r w:rsidR="00815D37" w:rsidRPr="00BE1B68">
        <w:rPr>
          <w:sz w:val="18"/>
          <w:szCs w:val="18"/>
          <w:vertAlign w:val="superscript"/>
        </w:rPr>
        <w:t>th</w:t>
      </w:r>
      <w:r w:rsidR="00815D37" w:rsidRPr="00BE1B68">
        <w:rPr>
          <w:sz w:val="18"/>
          <w:szCs w:val="18"/>
        </w:rPr>
        <w:sym w:font="Wingdings" w:char="F0E0"/>
      </w:r>
      <w:r w:rsidR="00815D37" w:rsidRPr="00BE1B68">
        <w:rPr>
          <w:i/>
          <w:iCs/>
          <w:sz w:val="18"/>
          <w:szCs w:val="18"/>
        </w:rPr>
        <w:t>9</w:t>
      </w:r>
      <w:r w:rsidR="00815D37" w:rsidRPr="00BE1B68">
        <w:rPr>
          <w:sz w:val="18"/>
          <w:szCs w:val="18"/>
        </w:rPr>
        <w:t>,  10</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a,  11</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b,  12</w:t>
      </w:r>
      <w:r w:rsidR="00815D37" w:rsidRPr="00BE1B68">
        <w:rPr>
          <w:sz w:val="18"/>
          <w:szCs w:val="18"/>
          <w:vertAlign w:val="superscript"/>
        </w:rPr>
        <w:t>th</w:t>
      </w:r>
      <w:r w:rsidR="00815D37" w:rsidRPr="00BE1B68">
        <w:rPr>
          <w:sz w:val="18"/>
          <w:szCs w:val="18"/>
        </w:rPr>
        <w:sym w:font="Wingdings" w:char="F0E0"/>
      </w:r>
      <w:r w:rsidR="00815D37" w:rsidRPr="00BE1B68">
        <w:rPr>
          <w:sz w:val="18"/>
          <w:szCs w:val="18"/>
        </w:rPr>
        <w:t>c, … ,  31</w:t>
      </w:r>
      <w:r w:rsidR="00815D37" w:rsidRPr="00BE1B68">
        <w:rPr>
          <w:sz w:val="18"/>
          <w:szCs w:val="18"/>
          <w:vertAlign w:val="superscript"/>
        </w:rPr>
        <w:t>st</w:t>
      </w:r>
      <w:r w:rsidR="00815D37" w:rsidRPr="00BE1B68">
        <w:rPr>
          <w:sz w:val="18"/>
          <w:szCs w:val="18"/>
        </w:rPr>
        <w:sym w:font="Wingdings" w:char="F0E0"/>
      </w:r>
      <w:r w:rsidR="00815D37" w:rsidRPr="00BE1B68">
        <w:rPr>
          <w:i/>
          <w:iCs/>
          <w:sz w:val="18"/>
          <w:szCs w:val="18"/>
        </w:rPr>
        <w:t>v</w:t>
      </w:r>
      <w:r w:rsidR="00815D37" w:rsidRPr="00BE1B68">
        <w:rPr>
          <w:sz w:val="18"/>
          <w:szCs w:val="18"/>
        </w:rPr>
        <w:t>.</w:t>
      </w:r>
    </w:p>
    <w:p w14:paraId="4DD74CCE" w14:textId="6122A5F1"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3F543C" w:rsidRPr="00BE1B68">
        <w:rPr>
          <w:sz w:val="18"/>
          <w:szCs w:val="18"/>
        </w:rPr>
        <w:t>Multiple</w:t>
      </w:r>
      <w:r w:rsidR="00706DA7" w:rsidRPr="00BE1B68">
        <w:rPr>
          <w:sz w:val="18"/>
          <w:szCs w:val="18"/>
        </w:rPr>
        <w:t xml:space="preserve"> revision numbers exist: </w:t>
      </w:r>
      <w:r w:rsidR="003F543C" w:rsidRPr="00BE1B68">
        <w:rPr>
          <w:sz w:val="18"/>
          <w:szCs w:val="18"/>
        </w:rPr>
        <w:t xml:space="preserve">The </w:t>
      </w:r>
      <w:r w:rsidRPr="00BE1B68">
        <w:rPr>
          <w:sz w:val="18"/>
          <w:szCs w:val="18"/>
        </w:rPr>
        <w:t>Digital-AV SDK revision (aka, the “plate” revision) is the most significant set of files</w:t>
      </w:r>
      <w:r w:rsidR="007571D6" w:rsidRPr="00BE1B68">
        <w:rPr>
          <w:sz w:val="18"/>
          <w:szCs w:val="18"/>
        </w:rPr>
        <w:t xml:space="preserve">. </w:t>
      </w:r>
      <w:r w:rsidR="003F543C" w:rsidRPr="00BE1B68">
        <w:rPr>
          <w:sz w:val="18"/>
          <w:szCs w:val="18"/>
        </w:rPr>
        <w:t xml:space="preserve">There are </w:t>
      </w:r>
      <w:r w:rsidR="00B20817" w:rsidRPr="00BE1B68">
        <w:rPr>
          <w:sz w:val="18"/>
          <w:szCs w:val="18"/>
        </w:rPr>
        <w:t xml:space="preserve">also </w:t>
      </w:r>
      <w:r w:rsidR="003F543C" w:rsidRPr="00BE1B68">
        <w:rPr>
          <w:sz w:val="18"/>
          <w:szCs w:val="18"/>
        </w:rPr>
        <w:t xml:space="preserve">distinct and separate revision numbers </w:t>
      </w:r>
      <w:r w:rsidR="00D54CBC" w:rsidRPr="00BE1B68">
        <w:rPr>
          <w:sz w:val="18"/>
          <w:szCs w:val="18"/>
        </w:rPr>
        <w:t>of</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 xml:space="preserve">when an appendix is includes, those also have </w:t>
      </w:r>
      <w:r w:rsidR="003F543C" w:rsidRPr="00BE1B68">
        <w:rPr>
          <w:sz w:val="18"/>
          <w:szCs w:val="18"/>
        </w:rPr>
        <w:t>distinct revision numbers.</w:t>
      </w:r>
    </w:p>
    <w:p w14:paraId="2DA7FE46" w14:textId="0377D68A" w:rsidR="00A41028" w:rsidRDefault="003F543C" w:rsidP="004D3108">
      <w:pPr>
        <w:spacing w:after="0" w:line="240" w:lineRule="auto"/>
        <w:ind w:left="360" w:hanging="360"/>
        <w:jc w:val="both"/>
        <w:rPr>
          <w:sz w:val="20"/>
          <w:szCs w:val="20"/>
        </w:rPr>
        <w:sectPr w:rsidR="00A41028" w:rsidSect="000560C3">
          <w:headerReference w:type="even" r:id="rId12"/>
          <w:headerReference w:type="default" r:id="rId13"/>
          <w:footerReference w:type="even" r:id="rId14"/>
          <w:footerReference w:type="default" r:id="rId15"/>
          <w:headerReference w:type="first" r:id="rId16"/>
          <w:footerReference w:type="first" r:id="rId17"/>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Still, they are useful text representations of what the SD</w:t>
      </w:r>
      <w:r w:rsidR="00780FB1">
        <w:rPr>
          <w:sz w:val="18"/>
          <w:szCs w:val="18"/>
        </w:rPr>
        <w:t>K</w:t>
      </w:r>
      <w:r w:rsidR="00B73F4E">
        <w:rPr>
          <w:sz w:val="18"/>
          <w:szCs w:val="18"/>
        </w:rPr>
        <w:t xml:space="preserve"> looks like from an API standpoint</w:t>
      </w:r>
      <w:r w:rsidR="00025300" w:rsidRPr="00BE1B68">
        <w:rPr>
          <w:sz w:val="18"/>
          <w:szCs w:val="18"/>
        </w:rPr>
        <w:t>.</w:t>
      </w:r>
      <w:r w:rsidR="00B73F4E">
        <w:rPr>
          <w:sz w:val="18"/>
          <w:szCs w:val="18"/>
        </w:rPr>
        <w:t xml:space="preserve"> Foundations/csharp/avxlib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37E0B494"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integrations of C# Foundation with Quelle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32"/>
          <w:footerReference w:type="default" r:id="rId33"/>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B14C" w14:textId="77777777" w:rsidR="00250E21" w:rsidRDefault="00250E21" w:rsidP="00DC16A1">
      <w:pPr>
        <w:spacing w:after="0" w:line="240" w:lineRule="auto"/>
      </w:pPr>
      <w:r>
        <w:separator/>
      </w:r>
    </w:p>
  </w:endnote>
  <w:endnote w:type="continuationSeparator" w:id="0">
    <w:p w14:paraId="748AEF13" w14:textId="77777777" w:rsidR="00250E21" w:rsidRDefault="00250E2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9CD9" w14:textId="77777777" w:rsidR="007777CF" w:rsidRDefault="00777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9764" w14:textId="77777777" w:rsidR="007777CF" w:rsidRDefault="007777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CB1A" w14:textId="77777777" w:rsidR="00250E21" w:rsidRDefault="00250E21" w:rsidP="00DC16A1">
      <w:pPr>
        <w:spacing w:after="0" w:line="240" w:lineRule="auto"/>
      </w:pPr>
      <w:r>
        <w:separator/>
      </w:r>
    </w:p>
  </w:footnote>
  <w:footnote w:type="continuationSeparator" w:id="0">
    <w:p w14:paraId="510A8E66" w14:textId="77777777" w:rsidR="00250E21" w:rsidRDefault="00250E21"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86A9" w14:textId="77777777" w:rsidR="007777CF" w:rsidRDefault="00777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075849C0"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4D67991"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434FB0">
            <w:rPr>
              <w:rFonts w:ascii="Consolas" w:hAnsi="Consolas" w:cstheme="minorHAnsi"/>
              <w:sz w:val="20"/>
              <w:szCs w:val="20"/>
              <w:vertAlign w:val="subscript"/>
            </w:rPr>
            <w:t>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C011F3E"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9E1D08">
            <w:rPr>
              <w:rFonts w:ascii="Consolas" w:eastAsia="Times New Roman" w:hAnsi="Consolas" w:cs="Times New Roman"/>
              <w:sz w:val="18"/>
              <w:szCs w:val="18"/>
            </w:rPr>
            <w:t>6</w:t>
          </w:r>
          <w:r w:rsidR="009E1D08">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F4AB" w14:textId="77777777" w:rsidR="007777CF" w:rsidRDefault="007777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511EF4" w14:paraId="13B97826" w14:textId="77777777" w:rsidTr="00DF0491">
      <w:trPr>
        <w:trHeight w:val="166"/>
      </w:trPr>
      <w:tc>
        <w:tcPr>
          <w:tcW w:w="10948"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42"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2CEBD764" w14:textId="77777777" w:rsidTr="00DF0491">
      <w:trPr>
        <w:trHeight w:val="165"/>
      </w:trPr>
      <w:tc>
        <w:tcPr>
          <w:tcW w:w="10948"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56" w:type="dxa"/>
          <w:noWrap/>
          <w:tcMar>
            <w:left w:w="0" w:type="dxa"/>
            <w:right w:w="115" w:type="dxa"/>
          </w:tcMar>
        </w:tcPr>
        <w:p w14:paraId="60A4CA25" w14:textId="36EC0E6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9861FF" w14:paraId="5D4C6DA5" w14:textId="77777777" w:rsidTr="00DF0491">
      <w:trPr>
        <w:trHeight w:val="166"/>
      </w:trPr>
      <w:tc>
        <w:tcPr>
          <w:tcW w:w="10932"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58"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DF0491">
      <w:trPr>
        <w:trHeight w:val="165"/>
      </w:trPr>
      <w:tc>
        <w:tcPr>
          <w:tcW w:w="10932"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6B9DCA9A" w14:textId="5AB60C4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Digital-AV.org" TargetMode="External"/><Relationship Id="rId26" Type="http://schemas.openxmlformats.org/officeDocument/2006/relationships/header" Target="header4.xml"/><Relationship Id="rId21" Type="http://schemas.openxmlformats.org/officeDocument/2006/relationships/hyperlink" Target="mailto:kevin@wonus.com" TargetMode="Externa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kevin@wonus.com"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yperlink" Target="mailto:info@avtext.org" TargetMode="External"/><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AVText.org" TargetMode="External"/><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footer" Target="footer1.xml"/><Relationship Id="rId22" Type="http://schemas.openxmlformats.org/officeDocument/2006/relationships/hyperlink" Target="http://Digital-AV.org" TargetMode="Externa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18</cp:revision>
  <cp:lastPrinted>2023-01-14T05:57:00Z</cp:lastPrinted>
  <dcterms:created xsi:type="dcterms:W3CDTF">2023-05-07T02:24:00Z</dcterms:created>
  <dcterms:modified xsi:type="dcterms:W3CDTF">2023-06-24T20:43:00Z</dcterms:modified>
</cp:coreProperties>
</file>