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Coinciding with the Z2C document revision is the availability of FlatBuffers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FlatBuffers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59729EC0"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uint32</w:t>
      </w:r>
      <w:r w:rsidRPr="00411F71">
        <w:rPr>
          <w:sz w:val="20"/>
          <w:szCs w:val="20"/>
        </w:rPr>
        <w:t>) of the file</w:t>
      </w:r>
      <w:r>
        <w:rPr>
          <w:sz w:val="20"/>
          <w:szCs w:val="20"/>
        </w:rPr>
        <w:t xml:space="preserve"> // 0 for variable-width files</w:t>
      </w:r>
    </w:p>
    <w:p w14:paraId="4E82C364" w14:textId="7777777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uint32</w:t>
      </w:r>
      <w:r w:rsidRPr="00411F71">
        <w:rPr>
          <w:sz w:val="20"/>
          <w:szCs w:val="20"/>
        </w:rPr>
        <w:t>) of the file</w:t>
      </w:r>
    </w:p>
    <w:p w14:paraId="5D4E6682" w14:textId="6A561C6E"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FlatBuffers</w:t>
      </w:r>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Code-Generation is utilized to extend support. These addendums are supplied by the dotnet project named SerializedFromSDK.csproj in the Z-Series/FB folder within the github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5"/>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github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sidR="00397B6B">
              <w:rPr>
                <w:sz w:val="36"/>
                <w:szCs w:val="36"/>
              </w:rPr>
              <w:t>bin</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-Index.</w:t>
            </w:r>
            <w:r w:rsidR="00397B6B">
              <w:rPr>
                <w:sz w:val="36"/>
                <w:szCs w:val="36"/>
              </w:rPr>
              <w:t>bin</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-Index.</w:t>
            </w:r>
            <w:r w:rsidR="00397B6B">
              <w:rPr>
                <w:sz w:val="36"/>
                <w:szCs w:val="36"/>
              </w:rPr>
              <w:t>bin</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Verse-Index.fbs</w:t>
            </w:r>
          </w:p>
        </w:tc>
        <w:tc>
          <w:tcPr>
            <w:tcW w:w="2965" w:type="dxa"/>
            <w:vAlign w:val="center"/>
          </w:tcPr>
          <w:p w14:paraId="189541A3" w14:textId="68CA774A" w:rsidR="00972291" w:rsidRPr="006B19ED" w:rsidRDefault="00972291" w:rsidP="00972291">
            <w:pPr>
              <w:jc w:val="both"/>
              <w:rPr>
                <w:sz w:val="36"/>
                <w:szCs w:val="36"/>
              </w:rPr>
            </w:pPr>
            <w:r>
              <w:rPr>
                <w:sz w:val="36"/>
                <w:szCs w:val="36"/>
              </w:rPr>
              <w:t>Verse-Index.</w:t>
            </w:r>
            <w:r w:rsidR="00397B6B">
              <w:rPr>
                <w:sz w:val="36"/>
                <w:szCs w:val="36"/>
              </w:rPr>
              <w:t>bin</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2965" w:type="dxa"/>
            <w:vAlign w:val="center"/>
          </w:tcPr>
          <w:p w14:paraId="2A8613D7" w14:textId="694B7AAC" w:rsidR="00972291" w:rsidRPr="006B19ED" w:rsidRDefault="00972291" w:rsidP="00972291">
            <w:pPr>
              <w:jc w:val="both"/>
              <w:rPr>
                <w:sz w:val="36"/>
                <w:szCs w:val="36"/>
              </w:rPr>
            </w:pPr>
            <w:r w:rsidRPr="00542D17">
              <w:rPr>
                <w:sz w:val="36"/>
                <w:szCs w:val="36"/>
              </w:rPr>
              <w:t>Lemma</w:t>
            </w:r>
            <w:r>
              <w:rPr>
                <w:sz w:val="36"/>
                <w:szCs w:val="36"/>
              </w:rPr>
              <w:t>ta.</w:t>
            </w:r>
            <w:r w:rsidR="00397B6B">
              <w:rPr>
                <w:sz w:val="36"/>
                <w:szCs w:val="36"/>
              </w:rPr>
              <w:t>bin</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2965" w:type="dxa"/>
            <w:vAlign w:val="center"/>
          </w:tcPr>
          <w:p w14:paraId="2363DEDB" w14:textId="4258DF84" w:rsidR="00972291" w:rsidRPr="006B19ED" w:rsidRDefault="00972291" w:rsidP="00972291">
            <w:pPr>
              <w:jc w:val="both"/>
              <w:rPr>
                <w:sz w:val="36"/>
                <w:szCs w:val="36"/>
              </w:rPr>
            </w:pPr>
            <w:r w:rsidRPr="00542D17">
              <w:rPr>
                <w:sz w:val="36"/>
                <w:szCs w:val="36"/>
              </w:rPr>
              <w:t>Lemma</w:t>
            </w:r>
            <w:r>
              <w:rPr>
                <w:sz w:val="36"/>
                <w:szCs w:val="36"/>
              </w:rPr>
              <w:t>ta-OOV.</w:t>
            </w:r>
            <w:r w:rsidR="00397B6B">
              <w:rPr>
                <w:sz w:val="36"/>
                <w:szCs w:val="36"/>
              </w:rPr>
              <w:t>bin</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2965" w:type="dxa"/>
            <w:vAlign w:val="center"/>
          </w:tcPr>
          <w:p w14:paraId="69C3B0CE" w14:textId="61BC28C3" w:rsidR="00972291" w:rsidRPr="00542D17" w:rsidRDefault="00972291" w:rsidP="00972291">
            <w:pPr>
              <w:jc w:val="both"/>
              <w:rPr>
                <w:sz w:val="36"/>
                <w:szCs w:val="36"/>
              </w:rPr>
            </w:pPr>
            <w:r w:rsidRPr="00142BBA">
              <w:rPr>
                <w:sz w:val="36"/>
                <w:szCs w:val="36"/>
              </w:rPr>
              <w:t>Lexicon</w:t>
            </w:r>
            <w:r>
              <w:rPr>
                <w:sz w:val="36"/>
                <w:szCs w:val="36"/>
              </w:rPr>
              <w:t>.</w:t>
            </w:r>
            <w:r w:rsidR="00397B6B">
              <w:rPr>
                <w:sz w:val="36"/>
                <w:szCs w:val="36"/>
              </w:rPr>
              <w:t>bin</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2965" w:type="dxa"/>
            <w:vAlign w:val="center"/>
          </w:tcPr>
          <w:p w14:paraId="01EC6AF0" w14:textId="03E89BFD" w:rsidR="00972291" w:rsidRPr="00542D17" w:rsidRDefault="00972291" w:rsidP="00972291">
            <w:pPr>
              <w:jc w:val="both"/>
              <w:rPr>
                <w:sz w:val="36"/>
                <w:szCs w:val="36"/>
              </w:rPr>
            </w:pPr>
            <w:r>
              <w:rPr>
                <w:sz w:val="36"/>
                <w:szCs w:val="36"/>
              </w:rPr>
              <w:t>WordClasses.</w:t>
            </w:r>
            <w:r w:rsidR="00397B6B">
              <w:rPr>
                <w:sz w:val="36"/>
                <w:szCs w:val="36"/>
              </w:rPr>
              <w:t>bin</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2965" w:type="dxa"/>
            <w:vAlign w:val="center"/>
          </w:tcPr>
          <w:p w14:paraId="63DBED89" w14:textId="0F37C375" w:rsidR="00972291" w:rsidRPr="00542D17" w:rsidRDefault="00972291" w:rsidP="00972291">
            <w:pPr>
              <w:jc w:val="both"/>
              <w:rPr>
                <w:sz w:val="36"/>
                <w:szCs w:val="36"/>
              </w:rPr>
            </w:pPr>
            <w:r>
              <w:rPr>
                <w:sz w:val="36"/>
                <w:szCs w:val="36"/>
              </w:rPr>
              <w:t>Names.</w:t>
            </w:r>
            <w:r w:rsidR="00397B6B">
              <w:rPr>
                <w:sz w:val="36"/>
                <w:szCs w:val="36"/>
              </w:rPr>
              <w:t>bin</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09EC65FC" w:rsidR="00703735"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FlatSharp</w:t>
      </w:r>
      <w:r w:rsidR="00E158D3">
        <w:rPr>
          <w:rStyle w:val="FootnoteReference"/>
        </w:rPr>
        <w:footnoteReference w:id="7"/>
      </w:r>
      <w:r w:rsidR="008622CF">
        <w:t xml:space="preserve">. As of </w:t>
      </w:r>
      <w:r w:rsidR="0034132A">
        <w:t xml:space="preserve">the date of this documentation, all FlatBuffer assets should be considered Alpha-quality. </w:t>
      </w:r>
      <w:r w:rsidR="00C11297">
        <w:t>They are available for use, but largely untested as yet.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w:t>
      </w:r>
      <w:r>
        <w:t>Rust</w:t>
      </w:r>
      <w:r>
        <w:t xml:space="preserve"> generated files in </w:t>
      </w:r>
      <w:r w:rsidRPr="00703735">
        <w:t>Digital-AV/z-series/foundations/</w:t>
      </w:r>
      <w:r>
        <w:t>rust</w:t>
      </w:r>
      <w:r w:rsidRPr="00703735">
        <w:t>/</w:t>
      </w:r>
      <w:r>
        <w:t xml:space="preserve"> folder on github, define structures in lockstep with the binary files of the SDK. </w:t>
      </w:r>
      <w:r>
        <w:t>However, one major deviation is that the AV-Writ.dx file is segmented into 66 different structures (one for each book of the bible).</w:t>
      </w:r>
    </w:p>
    <w:p w14:paraId="5AC2B05F" w14:textId="3F604B66" w:rsidR="00A34B19" w:rsidRDefault="00A34B19" w:rsidP="00A34B19">
      <w:r>
        <w:t xml:space="preserve">There are </w:t>
      </w:r>
      <w:r>
        <w:t>other</w:t>
      </w:r>
      <w:r>
        <w:t xml:space="preserve"> minor deviations that should be intuitive by examining the struct definitions. </w:t>
      </w:r>
      <w:r>
        <w:t xml:space="preserve">These are driven somewhat by the rules of Rust. </w:t>
      </w:r>
      <w:r>
        <w:t xml:space="preserve">The value of the </w:t>
      </w:r>
      <w:r>
        <w:t>generated</w:t>
      </w:r>
      <w:r>
        <w:t xml:space="preserve"> files is that no deserialization operations are required. </w:t>
      </w:r>
      <w:r>
        <w:t xml:space="preserve">Moreover, the implementation uses Rust arrays with </w:t>
      </w:r>
      <w:r>
        <w:t>static initializations.</w:t>
      </w:r>
    </w:p>
    <w:p w14:paraId="229F39D4" w14:textId="402164DC" w:rsidR="00A34B19" w:rsidRDefault="00A34B19" w:rsidP="00A34B19">
      <w:r>
        <w:t xml:space="preserve">These sources are </w:t>
      </w:r>
      <w:r>
        <w:t>in flux and undergoing active development</w:t>
      </w:r>
      <w:r>
        <w:t xml:space="preserve">. If you encounter problems utilizing these sources, </w:t>
      </w:r>
      <w:r>
        <w:t>please let me know</w:t>
      </w:r>
      <w:r>
        <w:t>.</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489F21F1" w:rsidR="00703735" w:rsidRDefault="00703735" w:rsidP="002F6537">
      <w:r>
        <w:t xml:space="preserve">In general, the C/C++ generated files in </w:t>
      </w:r>
      <w:r w:rsidRPr="00703735">
        <w:t>Digital-AV/z-series/foundations/cpp/</w:t>
      </w:r>
      <w:r>
        <w:t xml:space="preserve"> folder on github,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 array initializations.</w:t>
      </w:r>
    </w:p>
    <w:p w14:paraId="7BB501E5" w14:textId="1C4E665A" w:rsidR="00A34B19" w:rsidRDefault="00A34B19" w:rsidP="002F6537">
      <w:r>
        <w:t>These sources are largely untested, but fully supported. If you encounter problems utilizing these sources, I will directly engage.</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E28D" w14:textId="77777777" w:rsidR="00B36C61" w:rsidRDefault="00B36C61" w:rsidP="00DC16A1">
      <w:pPr>
        <w:spacing w:after="0" w:line="240" w:lineRule="auto"/>
      </w:pPr>
      <w:r>
        <w:separator/>
      </w:r>
    </w:p>
  </w:endnote>
  <w:endnote w:type="continuationSeparator" w:id="0">
    <w:p w14:paraId="5D38091C" w14:textId="77777777" w:rsidR="00B36C61" w:rsidRDefault="00B36C6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r w:rsidR="00AF0A26">
          <w:t>FlatBuffers</w:t>
        </w:r>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6BB3" w14:textId="77777777" w:rsidR="00B36C61" w:rsidRDefault="00B36C61" w:rsidP="00DC16A1">
      <w:pPr>
        <w:spacing w:after="0" w:line="240" w:lineRule="auto"/>
      </w:pPr>
      <w:r>
        <w:separator/>
      </w:r>
    </w:p>
  </w:footnote>
  <w:footnote w:type="continuationSeparator" w:id="0">
    <w:p w14:paraId="3F45C0C6" w14:textId="77777777" w:rsidR="00B36C61" w:rsidRDefault="00B36C61"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46AAF1E7"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2141E7">
            <w:rPr>
              <w:rFonts w:cstheme="minorHAnsi"/>
              <w:sz w:val="20"/>
              <w:szCs w:val="20"/>
              <w:vertAlign w:val="subscript"/>
            </w:rPr>
            <w:t>7</w:t>
          </w:r>
        </w:p>
        <w:p w14:paraId="3107726B" w14:textId="7D671961"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2141E7">
            <w:rPr>
              <w:rFonts w:cstheme="minorHAnsi"/>
              <w:sz w:val="20"/>
              <w:szCs w:val="20"/>
              <w:vertAlign w:val="subscript"/>
            </w:rPr>
            <w:t>7</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74149A0A"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2141E7">
            <w:rPr>
              <w:rFonts w:cstheme="minorHAnsi"/>
              <w:sz w:val="20"/>
              <w:szCs w:val="20"/>
              <w:vertAlign w:val="subscript"/>
            </w:rPr>
            <w:t>7</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76D7A141"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72AFD55B"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0D68"/>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221E"/>
    <w:rsid w:val="00823417"/>
    <w:rsid w:val="00823C40"/>
    <w:rsid w:val="00825D89"/>
    <w:rsid w:val="008265BA"/>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34B19"/>
    <w:rsid w:val="00A404E4"/>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F0A26"/>
    <w:rsid w:val="00AF5304"/>
    <w:rsid w:val="00B03B91"/>
    <w:rsid w:val="00B053F4"/>
    <w:rsid w:val="00B07782"/>
    <w:rsid w:val="00B077BF"/>
    <w:rsid w:val="00B10EA3"/>
    <w:rsid w:val="00B153BB"/>
    <w:rsid w:val="00B15531"/>
    <w:rsid w:val="00B34A8A"/>
    <w:rsid w:val="00B36C61"/>
    <w:rsid w:val="00B45CB3"/>
    <w:rsid w:val="00B469C1"/>
    <w:rsid w:val="00B52FA7"/>
    <w:rsid w:val="00B60808"/>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7489E"/>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42293</TotalTime>
  <Pages>17</Pages>
  <Words>4543</Words>
  <Characters>25897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115</cp:revision>
  <cp:lastPrinted>2023-01-03T04:28:00Z</cp:lastPrinted>
  <dcterms:created xsi:type="dcterms:W3CDTF">2020-07-19T03:21:00Z</dcterms:created>
  <dcterms:modified xsi:type="dcterms:W3CDTF">2023-01-08T23:31:00Z</dcterms:modified>
</cp:coreProperties>
</file>