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2CCE9456" w:rsidR="004C50AE" w:rsidRPr="00581C98"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golang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r w:rsidR="00001871" w:rsidRPr="00001871">
        <w:rPr>
          <w:b/>
          <w:bCs/>
          <w:i/>
          <w:iCs/>
          <w:color w:val="404040" w:themeColor="text1" w:themeTint="BF"/>
          <w:sz w:val="28"/>
          <w:szCs w:val="28"/>
        </w:rPr>
        <w:t>BREAKING NEWS:</w:t>
      </w:r>
      <w:r w:rsidR="00001871" w:rsidRPr="00001871">
        <w:rPr>
          <w:color w:val="404040" w:themeColor="text1" w:themeTint="BF"/>
          <w:sz w:val="28"/>
          <w:szCs w:val="28"/>
        </w:rPr>
        <w:t xml:space="preserve"> </w:t>
      </w:r>
      <w:r w:rsidR="00AA7BBD">
        <w:rPr>
          <w:sz w:val="28"/>
          <w:szCs w:val="28"/>
        </w:rPr>
        <w:t>Coinciding with the Z2C document revision is the availability of FlatBuffers support.</w:t>
      </w:r>
      <w:r w:rsidR="00001871">
        <w:rPr>
          <w:sz w:val="28"/>
          <w:szCs w:val="28"/>
        </w:rPr>
        <w:t xml:space="preserve"> </w:t>
      </w:r>
      <w:r w:rsidR="00AA7BBD">
        <w:rPr>
          <w:sz w:val="28"/>
          <w:szCs w:val="28"/>
        </w:rPr>
        <w:t xml:space="preserve"> See the addendum at the </w:t>
      </w:r>
      <w:r w:rsidR="00001871">
        <w:rPr>
          <w:sz w:val="28"/>
          <w:szCs w:val="28"/>
        </w:rPr>
        <w:t>bottom</w:t>
      </w:r>
      <w:r w:rsidR="00AA7BBD">
        <w:rPr>
          <w:sz w:val="28"/>
          <w:szCs w:val="28"/>
        </w:rPr>
        <w:t xml:space="preserve"> of this document. Utilizing FlatBuffers obviates the need for </w:t>
      </w:r>
      <w:r w:rsidR="00001871">
        <w:rPr>
          <w:sz w:val="28"/>
          <w:szCs w:val="28"/>
        </w:rPr>
        <w:t>much</w:t>
      </w:r>
      <w:r w:rsidR="00AA7BBD">
        <w:rPr>
          <w:sz w:val="28"/>
          <w:szCs w:val="28"/>
        </w:rPr>
        <w:t xml:space="preserve"> of this documentation. Still the choice is yours, use this documentation for a zero-dependency solution, or embrace the convenience of standard deserialization </w:t>
      </w:r>
      <w:r w:rsidR="00001871">
        <w:rPr>
          <w:sz w:val="28"/>
          <w:szCs w:val="28"/>
        </w:rPr>
        <w:t xml:space="preserve">library </w:t>
      </w:r>
      <w:r w:rsidR="00AA7BBD">
        <w:rPr>
          <w:sz w:val="28"/>
          <w:szCs w:val="28"/>
        </w:rPr>
        <w:t>and self-describing IDL.</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78905C90"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binary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PN+WClass</w:t>
            </w:r>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C0F9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w:t>
      </w:r>
      <w:r>
        <w:rPr>
          <w:sz w:val="28"/>
          <w:szCs w:val="28"/>
        </w:rPr>
        <w:t>rit.dx</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r>
              <w:rPr>
                <w:rFonts w:ascii="Arial" w:eastAsia="Arial" w:hAnsi="Arial" w:cs="Arial"/>
                <w:b/>
                <w:color w:val="FFFFFF"/>
                <w:sz w:val="24"/>
              </w:rPr>
              <w:t xml:space="preserve">Strongs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mBQIAAOYDAAAOAAAAZHJzL2Uyb0RvYy54bWysU9tu2zAMfR+wfxD0vthJmy0x4hRdugwD&#10;ugvQ7QNkWY6FyaJGKbGzry8lJ2nRvg3Tg0BJ5CF5eLS6GTrDDgq9Blvy6STnTFkJtba7kv/6uX23&#10;4MwHYWthwKqSH5XnN+u3b1a9K9QMWjC1QkYg1he9K3kbgiuyzMtWdcJPwClLjw1gJwIdcZfVKHpC&#10;70w2y/P3WQ9YOwSpvKfbu/GRrxN+0ygZvjeNV4GZklNtIe2Y9iru2Xolih0K12p5KkP8QxWd0JaS&#10;XqDuRBBsj/oVVKclgocmTCR0GTSNlir1QN1M8xfdPLTCqdQLkePdhSb//2Dlt8OD+4EsDB9hoAGm&#10;Jry7B/nbMwubVtidukWEvlWipsTTSFnWO1+cQiPVvvARpOq/Qk1DFvsACWhosIusUJ+M0GkAxwvp&#10;aghM0uX19MNieTXnTNLb1fVsmaepZKI4Rzv04bOCjkWj5EhDTejicO9DrEYUZ5eYzIPR9VYbkw64&#10;qzYG2UGQALZppQZeuBnL+pIv57N5QrYQ45M2Oh1IoEZ3JV/kcY2SiWx8snVyCUKb0aZKjD3RExkZ&#10;uQlDNZBjpKmC+khEIYxCpI9DRgv4l7OeRFhy/2cvUHFmvlgiOyr2bODZqM6GsJJCSx44G81NSMqO&#10;fVu4pSE0OvHzlPlUG4kp0XYSflTr83Pyevqe60cAAAD//wMAUEsDBBQABgAIAAAAIQCDTJiz4gAA&#10;AA0BAAAPAAAAZHJzL2Rvd25yZXYueG1sTI/BTsMwDIbvSLxDZCQuiKUra7V2TSfY4DYOG9POWRPa&#10;isapknTt3h7vBLff8q/Pn4v1ZDp20c63FgXMZxEwjZVVLdYCjl8fz0tgPkhUsrOoBVy1h3V5f1fI&#10;XNkR9/pyCDUjCPpcCmhC6HPOfdVoI/3M9hpp922dkYFGV3Pl5Ehw0/E4ilJuZIt0oZG93jS6+jkM&#10;RkC6dcO4x83T9vi+k599HZ/erichHh+m1xWwoKfwV4abPqlDSU5nO6DyrCNGtkioKiDL5imwW+Ml&#10;iSmdKUWLJAVeFvz/F+UvAAAA//8DAFBLAQItABQABgAIAAAAIQC2gziS/gAAAOEBAAATAAAAAAAA&#10;AAAAAAAAAAAAAABbQ29udGVudF9UeXBlc10ueG1sUEsBAi0AFAAGAAgAAAAhADj9If/WAAAAlAEA&#10;AAsAAAAAAAAAAAAAAAAALwEAAF9yZWxzLy5yZWxzUEsBAi0AFAAGAAgAAAAhALHIYWYFAgAA5gMA&#10;AA4AAAAAAAAAAAAAAAAALgIAAGRycy9lMm9Eb2MueG1sUEsBAi0AFAAGAAgAAAAhAINMmLPiAAAA&#10;DQEAAA8AAAAAAAAAAAAAAAAAXwQAAGRycy9kb3ducmV2LnhtbFBLBQYAAAAABAAEAPMAAABuBQAA&#10;AAA=&#10;" stroked="f">
                <v:textbox inset="0,0,0,0">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37F1DAF7"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qlBw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arkbvIVgnVifhCGPRI/4eMBvAXZx1pseD+50Gg4sx8tMR5FO7ZwLNRng1hJYUWPHA2mNuQ&#10;BB7bt3BHs6h1oukp81giaSqxN+o/ivb5Ob16+qWb3wAAAP//AwBQSwMEFAAGAAgAAAAhAFv04Jvg&#10;AAAADAEAAA8AAABkcnMvZG93bnJldi54bWxMj8FOwzAMhu9IvENkJC6IJXSiG6XpBBvc4LAx7Zw1&#10;pq1onKpJ1+7t8U5wtP3r8/fnq8m14oR9aDxpeJgpEEiltw1VGvZf7/dLECEasqb1hBrOGGBVXF/l&#10;JrN+pC2edrESDKGQGQ11jF0mZShrdCbMfIfEt2/fOxN57CtpezMy3LUyUSqVzjTEH2rT4brG8mc3&#10;OA3pph/GLa3vNvu3D/PZVcnh9XzQ+vZmenkGEXGKf2G46LM6FOx09APZIFoNT/MFq0eGJSmXuiTm&#10;jyoBceTVUi1AFrn8X6L4BQAA//8DAFBLAQItABQABgAIAAAAIQC2gziS/gAAAOEBAAATAAAAAAAA&#10;AAAAAAAAAAAAAABbQ29udGVudF9UeXBlc10ueG1sUEsBAi0AFAAGAAgAAAAhADj9If/WAAAAlAEA&#10;AAsAAAAAAAAAAAAAAAAALwEAAF9yZWxzLy5yZWxzUEsBAi0AFAAGAAgAAAAhAEKXyqUHAgAA7QMA&#10;AA4AAAAAAAAAAAAAAAAALgIAAGRycy9lMm9Eb2MueG1sUEsBAi0AFAAGAAgAAAAhAFv04JvgAAAA&#10;DAEAAA8AAAAAAAAAAAAAAAAAYQQAAGRycy9kb3ducmV2LnhtbFBLBQYAAAAABAAEAPMAAABuBQAA&#10;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FIBw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TVfpNykVgPqSHohnPxI/w8FHeAvzgbyYs3Dz71AzZn96EjzZNxzgOegOQfCSUqteeTsFG5i&#10;Nnhq38EdzaI1WaanyhNF8lRWb/J/Mu2f+/zq6S9d/wYAAP//AwBQSwMEFAAGAAgAAAAhAAQ5/Ind&#10;AAAACAEAAA8AAABkcnMvZG93bnJldi54bWxMj8FOwzAQRO9I/IO1SFwQtSlRBCFOBS3c4NBS9byN&#10;TRIRryPbadK/ZznBbVczmnlTrmbXi5MNsfOk4W6hQFiqvemo0bD/fLt9ABETksHek9VwthFW1eVF&#10;iYXxE23taZcawSEUC9TQpjQUUsa6tQ7jwg+WWPvywWHiNzTSBJw43PVyqVQuHXbEDS0Odt3a+ns3&#10;Og35JozTltY3m/3rO34MzfLwcj5ofX01Pz+BSHZOf2b4xWd0qJjp6EcyUfQaeEjScP+o+GA55zYQ&#10;Rw1ZpjKQVSn/D6h+AAAA//8DAFBLAQItABQABgAIAAAAIQC2gziS/gAAAOEBAAATAAAAAAAAAAAA&#10;AAAAAAAAAABbQ29udGVudF9UeXBlc10ueG1sUEsBAi0AFAAGAAgAAAAhADj9If/WAAAAlAEAAAsA&#10;AAAAAAAAAAAAAAAALwEAAF9yZWxzLy5yZWxzUEsBAi0AFAAGAAgAAAAhAIrisUgHAgAA7QMAAA4A&#10;AAAAAAAAAAAAAAAALgIAAGRycy9lMm9Eb2MueG1sUEsBAi0AFAAGAAgAAAAhAAQ5/IndAAAACAEA&#10;AA8AAAAAAAAAAAAAAAAAYQQAAGRycy9kb3ducmV2LnhtbFBLBQYAAAAABAAEAPMAAABrBQ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503DFCF7"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51E79FA">
                <wp:simplePos x="0" y="0"/>
                <wp:positionH relativeFrom="margin">
                  <wp:align>left</wp:align>
                </wp:positionH>
                <wp:positionV relativeFrom="page">
                  <wp:posOffset>1809750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42.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VTaReN4A&#10;AAAJAQAADwAAAGRycy9kb3ducmV2LnhtbEyPwU7DMBBE70j8g7VIXBB1SEWIQjYVtHCDQ0vVsxsv&#10;SUS8jmynSf8e9wS3Wc1o9k25mk0vTuR8ZxnhYZGAIK6t7rhB2H+93+cgfFCsVW+ZEM7kYVVdX5Wq&#10;0HbiLZ12oRGxhH2hENoQhkJKX7dklF/YgTh639YZFeLpGqmdmmK56WWaJJk0quP4oVUDrVuqf3aj&#10;Qcg2bpy2vL7b7N8+1OfQpIfX8wHx9mZ+eQYRaA5/YbjgR3SoItPRjqy96BHikICQ5o9RXOz0KY/q&#10;iLBcZhnIqpT/F1S/AAAA//8DAFBLAQItABQABgAIAAAAIQC2gziS/gAAAOEBAAATAAAAAAAAAAAA&#10;AAAAAAAAAABbQ29udGVudF9UeXBlc10ueG1sUEsBAi0AFAAGAAgAAAAhADj9If/WAAAAlAEAAAsA&#10;AAAAAAAAAAAAAAAALwEAAF9yZWxzLy5yZWxzUEsBAi0AFAAGAAgAAAAhACMi4NkGAgAA7gMAAA4A&#10;AAAAAAAAAAAAAAAALgIAAGRycy9lMm9Eb2MueG1sUEsBAi0AFAAGAAgAAAAhAFU2kXjeAAAACQEA&#10;AA8AAAAAAAAAAAAAAAAAYAQAAGRycy9kb3ducmV2LnhtbFBLBQYAAAAABAAEAPMAAABrBQAAAAA=&#10;" stroked="f">
                <v:textbox inset="0,0,0,0">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 into AV-Chapter and chapter counts per book</w:t>
      </w:r>
      <w:r w:rsidR="00563C32" w:rsidRPr="00131508">
        <w:rPr>
          <w:rFonts w:cstheme="minorHAnsi"/>
          <w:noProof/>
          <w:sz w:val="28"/>
          <w:szCs w:val="28"/>
        </w:rPr>
        <w:t>.</w:t>
      </w:r>
      <w:r w:rsidR="007C5001">
        <w:rPr>
          <w:noProof/>
        </w:rPr>
        <w:t xml:space="preserve"> </w: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w:t>
      </w:r>
      <w:r w:rsidR="0046530F">
        <w:t xml:space="preserve"> ::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bgCQIAAO4DAAAOAAAAZHJzL2Uyb0RvYy54bWysk92O2yAQhe8r9R0Q942dbDfdWHFW22xT&#10;Vdr+SNs+AMY4RsUMHUjs9Ol3wE622t5V9QUaDBxmvjmsb4fOsKNCr8GWfD7LOVNWQq3tvuQ/vu/e&#10;3HDmg7C1MGBVyU/K89vN61fr3hVqAS2YWiEjEeuL3pW8DcEVWeZlqzrhZ+CUpcUGsBOBprjPahQ9&#10;qXcmW+T5MusBa4cglff0935c5Juk3zRKhq9N41VgpuSUW0gjprGKY7ZZi2KPwrVaTmmIf8iiE9rS&#10;pRepexEEO6D+S6rTEsFDE2YSugyaRkuVaqBq5vmLah5b4VSqheB4d8Hk/5+s/HJ8dN+QheE9DNTA&#10;VIR3DyB/emZh2wq7V3eI0LdK1HTxPCLLeueL6WhE7QsfRar+M9TUZHEIkISGBrtIhepkpE4NOF2g&#10;qyEwST+Xq7dX+YqWJK1dLd4tl6krmSjOpx368FFBx2JQcqSmJnVxfPAhZiOK85Z4mQej6502Jk1w&#10;X20NsqMgA+zSlwp4sc1Y1pd8db24TsoW4vnkjU4HMqjRXclv8viNlok0Ptg6bQlCmzGmTIyd8EQi&#10;I5swVAPTNbFL8CKuCuoTAUMYDUkPiIIW8DdnPZmx5P7XQaDizHyyBD069xzgOajOgbCSjpY8cDaG&#10;25AcHuu3cEfNaHTi9HzzlCOZKuGbHkB07Z/ztOv5mW6eAAAA//8DAFBLAwQUAAYACAAAACEAKWLF&#10;ROEAAAAMAQAADwAAAGRycy9kb3ducmV2LnhtbEyPwU7DMAyG70i8Q2QkLoilpFLbdU0n2OAGh41p&#10;Z6/J2orGqZp07d6e7ARH259+f3+xnk3HLnpwrSUJL4sImKbKqpZqCYfvj+cMmPNICjtLWsJVO1iX&#10;93cF5spOtNOXva9ZCCGXo4TG+z7n3FWNNugWttcUbmc7GPRhHGquBpxCuOm4iKKEG2wpfGiw15tG&#10;Vz/70UhItsM47WjztD28f+JXX4vj2/Uo5ePD/LoC5vXs/2C46Qd1KIPTyY6kHOskiKVYBlRCKpIU&#10;2I2IsyQGdgqrNIuBlwX/X6L8BQAA//8DAFBLAQItABQABgAIAAAAIQC2gziS/gAAAOEBAAATAAAA&#10;AAAAAAAAAAAAAAAAAABbQ29udGVudF9UeXBlc10ueG1sUEsBAi0AFAAGAAgAAAAhADj9If/WAAAA&#10;lAEAAAsAAAAAAAAAAAAAAAAALwEAAF9yZWxzLy5yZWxzUEsBAi0AFAAGAAgAAAAhAMo9huAJAgAA&#10;7gMAAA4AAAAAAAAAAAAAAAAALgIAAGRycy9lMm9Eb2MueG1sUEsBAi0AFAAGAAgAAAAhAClixUT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BB:CC:VV:WordCnt</w:t>
            </w:r>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419E8BD5"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6L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I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37e+iw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of WordKeys and/or OOVKeys.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0BwIAAO4DAAAOAAAAZHJzL2Uyb0RvYy54bWysU9tu2zAMfR+wfxD0vthJk60x4hRdugwD&#10;ugvQ7QNkWY6FyaJGKbG7ry8lO+kub8P0IFASeUgeHm1uhs6wk0KvwZZ8Pss5U1ZCre2h5N++7l9d&#10;c+aDsLUwYFXJH5XnN9uXLza9K9QCWjC1QkYg1he9K3kbgiuyzMtWdcLPwClLjw1gJwId8ZDVKHpC&#10;70y2yPPXWQ9YOwSpvKfbu/GRbxN+0ygZPjeNV4GZklNtIe2Y9iru2XYjigMK12o5lSH+oYpOaEtJ&#10;L1B3Igh2RP0XVKclgocmzCR0GTSNlir1QN3M8z+6eWiFU6kXIse7C03+/8HKT6cH9wVZGN7CQANM&#10;TXh3D/K7ZxZ2rbAHdYsIfatETYnnkbKsd76YQiPVvvARpOo/Qk1DFscACWhosIusUJ+M0GkAjxfS&#10;1RCYpMvlav1mmdOTpLer5WJNdkwhinO0Qx/eK+hYNEqONNSELk73PoyuZ5eYzIPR9V4bkw54qHYG&#10;2UmQAPZpTei/uRnL+pKvV4tVQrYQ45M2Oh1IoEZ3Jb/O4xolE9l4Z+vkEoQ2o01FGzvRExkZuQlD&#10;NTBdE3dXMTjSVUH9SIQhjIKkD0RGC/iTs57EWHL/4yhQcWY+WCI9Kvds4NmozoawkkJLHjgbzV1I&#10;Co/9W7ilYTQ68fSceaqRRJWYnj5AVO2v5+T1/E2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g6qLQ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MmCQIAAO4DAAAOAAAAZHJzL2Uyb0RvYy54bWysU9uO0zAQfUfiHyy/06RlC9uo6WrpUoS0&#10;XKSFD3Acp7GwPWbsNlm+nrHTdtHyhvCDNfZ4zsycOV7fjNawo8KgwdV8Pis5U05Cq92+5t+/7V5d&#10;cxaicK0w4FTNH1XgN5uXL9aDr9QCejCtQkYgLlSDr3kfo6+KIsheWRFm4JUjZwdoRaQj7osWxUDo&#10;1hSLsnxTDICtR5AqBLq9m5x8k/G7Tsn4peuCiszUnGqLece8N2kvNmtR7VH4XstTGeIfqrBCO0p6&#10;gboTUbAD6r+grJYIAbo4k2AL6DotVe6BupmXz7p56IVXuRciJ/gLTeH/wcrPxwf/FVkc38FIA8xN&#10;BH8P8kdgDra9cHt1iwhDr0RLieeJsmLwoTqFJqpDFRJIM3yCloYsDhEy0NihTaxQn4zQaQCPF9LV&#10;GJmky8Vy9Xa+JJck3+urxarMUylEdY72GOIHBZYlo+ZIQ83o4ngfYqpGVOcnKVkAo9udNiYfcN9s&#10;DbKjIAHs8soNPHtmHBtqvloulhnZQYrP2rA6kkCNtjW/LtOaJJPYeO/a/CQKbSabKjHuRE9iZOIm&#10;js3IdEvcXaXgRFcD7SMRhjAJkj4QGT3gL84GEmPNw8+DQMWZ+eiI9KTcs4FnozkbwkkKrXnkbDK3&#10;MSs89e/globR6c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rcqjJg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434FCFE7"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803151">
        <w:rPr>
          <w:rFonts w:asciiTheme="minorHAnsi" w:hAnsiTheme="minorHAnsi" w:cstheme="minorHAnsi"/>
          <w:sz w:val="28"/>
          <w:szCs w:val="28"/>
        </w:rPr>
        <w:t xml:space="preserve">contained within </w:t>
      </w:r>
      <w:r w:rsidRPr="00970523">
        <w:rPr>
          <w:rFonts w:asciiTheme="minorHAnsi" w:hAnsiTheme="minorHAnsi" w:cstheme="minorHAnsi"/>
          <w:sz w:val="28"/>
          <w:szCs w:val="28"/>
        </w:rPr>
        <w:t xml:space="preserve">the AV </w:t>
      </w:r>
      <w:r w:rsidR="00803151">
        <w:rPr>
          <w:rFonts w:asciiTheme="minorHAnsi" w:hAnsiTheme="minorHAnsi" w:cstheme="minorHAnsi"/>
          <w:sz w:val="28"/>
          <w:szCs w:val="28"/>
        </w:rPr>
        <w:t xml:space="preserve">bible.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the word</w:t>
      </w:r>
      <w:r w:rsidR="00803151">
        <w:rPr>
          <w:rFonts w:asciiTheme="minorHAnsi" w:hAnsiTheme="minorHAnsi" w:cstheme="minorHAnsi"/>
          <w:sz w:val="28"/>
          <w:szCs w:val="28"/>
        </w:rPr>
        <w:t xml:space="preserve"> is identified by a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UInt32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5555821E"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i\0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CA26C0" w:rsidRPr="000839D2">
              <w:rPr>
                <w:rFonts w:eastAsia="Arial" w:cstheme="minorHAnsi"/>
                <w:color w:val="808080" w:themeColor="background1" w:themeShade="80"/>
              </w:rPr>
              <w:t>{ }</w:t>
            </w:r>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adam\0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r w:rsidRPr="003A5CF4">
              <w:rPr>
                <w:rFonts w:eastAsia="Arial" w:cstheme="minorHAnsi"/>
              </w:rPr>
              <w:t>Mahershalalhashbaz</w:t>
            </w:r>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5CE6688B" w:rsidR="00A97930" w:rsidRPr="00512F43" w:rsidRDefault="00BB28E5" w:rsidP="00CA26C0">
            <w:pPr>
              <w:keepNext/>
              <w:keepLines/>
              <w:ind w:left="14"/>
              <w:rPr>
                <w:rFonts w:eastAsia="Arial" w:cstheme="minorHAnsi"/>
                <w:color w:val="000000" w:themeColor="text1"/>
              </w:rPr>
            </w:pPr>
            <w:r>
              <w:rPr>
                <w:rFonts w:eastAsia="Arial" w:cstheme="minorHAnsi"/>
              </w:rPr>
              <w:t>UI</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VersionNumber=Entities;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It should be noted that both the 16-bit WordClass field and each POS field contains part-of-speech information, but the 16-bit WordClass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FF6F2F"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r w:rsidR="00803151">
        <w:t xml:space="preserve"> </w:t>
      </w:r>
      <w:r w:rsidR="007F30FA">
        <w:t xml:space="preserve">  </w:t>
      </w:r>
      <w:r w:rsidR="007F30FA" w:rsidRPr="007F30FA">
        <w:rPr>
          <w:color w:val="808080" w:themeColor="background1" w:themeShade="80"/>
          <w:sz w:val="32"/>
          <w:szCs w:val="32"/>
        </w:rPr>
        <w:t>[</w:t>
      </w:r>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r w:rsidR="007F30FA" w:rsidRPr="007F30FA">
        <w:rPr>
          <w:b/>
          <w:bCs/>
        </w:rPr>
        <w:t>DecodePOS</w:t>
      </w:r>
      <w:r w:rsidR="007F30FA" w:rsidRPr="007F30FA">
        <w:rPr>
          <w:b/>
          <w:bCs/>
          <w:color w:val="4472C4" w:themeColor="accent5"/>
          <w:sz w:val="28"/>
          <w:szCs w:val="28"/>
        </w:rPr>
        <w:t>(</w:t>
      </w:r>
      <w:r w:rsidR="007F30FA" w:rsidRPr="007F30FA">
        <w:rPr>
          <w:b/>
          <w:bCs/>
          <w:color w:val="ED7D31" w:themeColor="accent2"/>
        </w:rPr>
        <w:t xml:space="preserve">UInt32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DoHQIAACsEAAAOAAAAZHJzL2Uyb0RvYy54bWysk99u2yAUxu8n7R0Q94uT1GlSK07Vpcs0&#10;qfsjdXsADDhGwxwGJHb29DtgN027u2m+QOADH+f8zsf6tm81OUrnFZiSziZTSqThIJTZl/TH9927&#10;FSU+MCOYBiNLepKe3m7evll3tpBzaEAL6QiKGF90tqRNCLbIMs8b2TI/ASsNBmtwLQu4dPtMONah&#10;equz+XR6nXXghHXApff4934I0k3Sr2vJw9e69jIQXVLMLaTRpbGKY7ZZs2LvmG0UH9Ng/5BFy5TB&#10;S89S9ywwcnDqL6lWcQce6jDh0GZQ14rLVANWM5u+quaxYVamWhCOt2dM/v/J8i/HR/vNkdC/hx4b&#10;mIrw9gH4T08MbBtm9vLOOegayQRePIvIss76YjwaUfvCR5Gq+wwCm8wOAZJQX7s2UsE6CapjA05n&#10;6LIPhOPP/Go2v5ljiGPsenm1zPN0BSueTlvnw0cJLYmTkjpsalJnxwcfYjaseNoSL/OgldgprdPC&#10;7autduTI0AC79I3qL7ZpQzqsbbFaLgYCLzSiGeVZhXEuTRg4vLqtVQHdrFVb0tU0foO/IroPRiSv&#10;Bab0MMe0tRlZRnwDyNBXPVEiJhMPR7YViBPSdTC4F18bThpwvynp0Lkl9b8OzElK9CeDHbqZ5Xm0&#10;elrki2Vk6y4j1WWEGY5SJQ2UDNNtSM8jwjNwh52sVYL8nMmYMzoysR9fT7T85Trten7jmz8AAAD/&#10;/wMAUEsDBBQABgAIAAAAIQCZttCy4AAAAAgBAAAPAAAAZHJzL2Rvd25yZXYueG1sTI/LTsMwEEX3&#10;SPyDNUjsqFNXakiIUyEEEo9StaXs3XhIIuJxFLtt4OsZVrAc3dG95xSL0XXiiENoPWmYThIQSJW3&#10;LdUadm8PV9cgQjRkTecJNXxhgEV5flaY3PoTbfC4jbXgEgq50dDE2OdShqpBZ8LE90icffjBmcjn&#10;UEs7mBOXu06qJJlLZ1rihcb0eNdg9bk9OA3Prn39Xq/eH1/G2S5TT8skzVb3Wl9ejLc3ICKO8e8Z&#10;fvEZHUpm2vsD2SA6DSwSNSg1ZQGO52mmQOw1zFSagSwL+V+g/AEAAP//AwBQSwECLQAUAAYACAAA&#10;ACEAtoM4kv4AAADhAQAAEwAAAAAAAAAAAAAAAAAAAAAAW0NvbnRlbnRfVHlwZXNdLnhtbFBLAQIt&#10;ABQABgAIAAAAIQA4/SH/1gAAAJQBAAALAAAAAAAAAAAAAAAAAC8BAABfcmVscy8ucmVsc1BLAQIt&#10;ABQABgAIAAAAIQBFsiDoHQIAACsEAAAOAAAAAAAAAAAAAAAAAC4CAABkcnMvZTJvRG9jLnhtbFBL&#10;AQItABQABgAIAAAAIQCZttCy4AAAAAgBAAAPAAAAAAAAAAAAAAAAAHcEAABkcnMvZG93bnJldi54&#10;bWxQSwUGAAAAAAQABADzAAAAhAU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7zHgIAACwEAAAOAAAAZHJzL2Uyb0RvYy54bWysk92O2yAQhe8r9R0Q943tNMkmVpzVNttU&#10;lbY/0rYPgAHHqJihQGKnT98BZ7Pp9q6qLxB44DDzzWF9O3SaHKXzCkxFi0lOiTQchDL7in7/tnuz&#10;pMQHZgTTYGRFT9LT283rV+velnIKLWghHUER48veVrQNwZZZ5nkrO+YnYKXBYAOuYwGXbp8Jx3pU&#10;73Q2zfNF1oMT1gGX3uPf+zFIN0m/aSQPX5rGy0B0RTG3kEaXxjqO2WbNyr1jtlX8nAb7hyw6pgxe&#10;epG6Z4GRg1N/SXWKO/DQhAmHLoOmUVymGrCaIn9RzWPLrEy1IBxvL5j8/5Pln4+P9qsjYXgHAzYw&#10;FeHtA/AfnhjYtszs5Z1z0LeSCby4iMiy3vryfDSi9qWPInX/CQQ2mR0CJKGhcV2kgnUSVMcGnC7Q&#10;5RAIx5+zt8V0NcUQx1iR56vFPLUlY+XTcet8+CChI3FSUYddTfLs+OBDTIeVT1vibR60EjuldVq4&#10;fb3VjhwZOmCXvlTBi23akB6vny9v5iOCPzSiG+VFhXEuTRhBvJDpVEA7a9VVdJnHbzRYZPfeiGS2&#10;wJQe55i2NmeYkd9IMgz1QJTAZBbxcIRbgzghXgejffG54aQF94uSHq1bUf/zwJykRH802KJVMZtF&#10;r6fFbH4T4brrSH0dYYajVEUDJeN0G9L7iPAM3GErG5UgP2dyzhktmdifn0/0/PU67Xp+5Jvf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LPifv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59729EC0"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uint32</w:t>
      </w:r>
      <w:r w:rsidRPr="00411F71">
        <w:rPr>
          <w:sz w:val="20"/>
          <w:szCs w:val="20"/>
        </w:rPr>
        <w:t>) of the file</w:t>
      </w:r>
      <w:r>
        <w:rPr>
          <w:sz w:val="20"/>
          <w:szCs w:val="20"/>
        </w:rPr>
        <w:t xml:space="preserve"> // 0 for variable-width files</w:t>
      </w:r>
    </w:p>
    <w:p w14:paraId="4E82C364" w14:textId="7777777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uint32</w:t>
      </w:r>
      <w:r w:rsidRPr="00411F71">
        <w:rPr>
          <w:sz w:val="20"/>
          <w:szCs w:val="20"/>
        </w:rPr>
        <w:t>) of the file</w:t>
      </w:r>
    </w:p>
    <w:p w14:paraId="5D4E6682" w14:textId="6A561C6E"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0XHQIAACsEAAAOAAAAZHJzL2Uyb0RvYy54bWysU9tu2zAMfR+wfxD0vtgJcqsRp+jSZRjQ&#10;dQO6fYAiy7EwWdQoJXb29aPkNM26t2F6EEhROiIPD1e3fWvYUaHXYEs+HuWcKSuh0nZf8u/ftu+W&#10;nPkgbCUMWFXyk/L8dv32zapzhZpAA6ZSyAjE+qJzJW9CcEWWedmoVvgROGUpWAO2IpCL+6xC0RF6&#10;a7JJns+zDrByCFJ5T6f3Q5CvE35dKxm+1LVXgZmSU24h7Zj2Xdyz9UoUexSu0fKchviHLFqhLX16&#10;gboXQbAD6r+gWi0RPNRhJKHNoK61VKkGqmacv6rmqRFOpVqIHO8uNPn/Bysfj0/uK7LQv4eeGpiK&#10;8O4B5A/PLGwaYffqDhG6RomKPh5HyrLO+eL8NFLtCx9Bdt1nqKjJ4hAgAfU1tpEVqpMROjXgdCFd&#10;9YFJOpzMbiaLfMaZpNg8X+Tz1JVMFM+vHfrwUUHLolFypKYmdHF88CFmI4rnK/EzD0ZXW21McnC/&#10;2xhkR0EC2KaVCnh1zVjWUW2z5WI2MPAHRhSjuqAIKZUNAw+vYFodSM1GtyVf5nEN+orUfbBV0loQ&#10;2gw2pW3smctI30Bk6Hc90xUls4iPI7c7qE7ELsKgXpo2MhrAX5x1pNyS+58HgYoz88lSh27G02mU&#10;enKms8WEHLyO7K4jwkqCKnngbDA3IY1HJM/CHXWy1onkl0zOOZMiE/fn6YmSv/bTrZcZX/8G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21k0X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avx.go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080737CE"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17F49302" w14:textId="7FE4E6D7" w:rsidR="00397B6B" w:rsidRDefault="00397B6B" w:rsidP="00536581">
      <w:pPr>
        <w:spacing w:after="0" w:line="240" w:lineRule="auto"/>
        <w:ind w:left="360" w:hanging="360"/>
        <w:jc w:val="both"/>
        <w:rPr>
          <w:rFonts w:ascii="Arial" w:eastAsia="Arial" w:hAnsi="Arial" w:cs="Arial"/>
          <w:b/>
          <w:noProof/>
          <w:color w:val="FFFFFF"/>
          <w:sz w:val="24"/>
        </w:rPr>
      </w:pPr>
      <w:r>
        <w:rPr>
          <w:sz w:val="20"/>
          <w:szCs w:val="20"/>
        </w:rPr>
        <w:t>#4</w:t>
      </w:r>
      <w:r>
        <w:rPr>
          <w:sz w:val="20"/>
          <w:szCs w:val="20"/>
        </w:rPr>
        <w:tab/>
        <w:t>The Z31 SDK release is substantially identical/compatible with the previous Z14 release, the SDK now includes an addendum for Flat Buffers IDL and binary files</w:t>
      </w:r>
    </w:p>
    <w:p w14:paraId="32D0D0A3" w14:textId="119F5CA1" w:rsidR="00A41028" w:rsidRDefault="004D3108" w:rsidP="004D3108">
      <w:pPr>
        <w:spacing w:after="0" w:line="240" w:lineRule="auto"/>
        <w:ind w:left="360" w:hanging="360"/>
        <w:jc w:val="both"/>
        <w:rPr>
          <w:sz w:val="20"/>
          <w:szCs w:val="20"/>
        </w:rPr>
      </w:pPr>
      <w:r>
        <w:rPr>
          <w:sz w:val="20"/>
          <w:szCs w:val="20"/>
        </w:rPr>
        <w:t>#</w:t>
      </w:r>
      <w:r w:rsidR="00397B6B">
        <w:rPr>
          <w:sz w:val="20"/>
          <w:szCs w:val="20"/>
        </w:rPr>
        <w:t>5</w:t>
      </w:r>
      <w:r>
        <w:rPr>
          <w:sz w:val="20"/>
          <w:szCs w:val="20"/>
        </w:rPr>
        <w:tab/>
      </w:r>
      <w:r w:rsidR="00397B6B">
        <w:rPr>
          <w:sz w:val="20"/>
          <w:szCs w:val="20"/>
        </w:rPr>
        <w:t>T</w:t>
      </w:r>
      <w:r w:rsidR="00A0039E">
        <w:rPr>
          <w:sz w:val="20"/>
          <w:szCs w:val="20"/>
        </w:rPr>
        <w:t xml:space="preserve">he </w:t>
      </w:r>
      <w:r w:rsidR="00610D68">
        <w:rPr>
          <w:sz w:val="20"/>
          <w:szCs w:val="20"/>
        </w:rPr>
        <w:t>Z31 SDK release</w:t>
      </w:r>
      <w:r w:rsidR="00397B6B">
        <w:rPr>
          <w:sz w:val="20"/>
          <w:szCs w:val="20"/>
        </w:rPr>
        <w:t xml:space="preserve"> adds </w:t>
      </w:r>
      <w:r>
        <w:rPr>
          <w:sz w:val="20"/>
          <w:szCs w:val="20"/>
        </w:rPr>
        <w:t>Flat Buffers</w:t>
      </w:r>
      <w:r w:rsidR="00397B6B">
        <w:rPr>
          <w:sz w:val="20"/>
          <w:szCs w:val="20"/>
        </w:rPr>
        <w:t xml:space="preserve"> support</w:t>
      </w:r>
      <w:r>
        <w:rPr>
          <w:sz w:val="20"/>
          <w:szCs w:val="20"/>
        </w:rPr>
        <w:t xml:space="preserve">. </w:t>
      </w:r>
      <w:r w:rsidR="00A0039E">
        <w:rPr>
          <w:sz w:val="20"/>
          <w:szCs w:val="20"/>
        </w:rPr>
        <w:t>Th</w:t>
      </w:r>
      <w:r w:rsidR="004B70AA">
        <w:rPr>
          <w:sz w:val="20"/>
          <w:szCs w:val="20"/>
        </w:rPr>
        <w:t>is</w:t>
      </w:r>
      <w:r w:rsidR="00A41028">
        <w:rPr>
          <w:sz w:val="20"/>
          <w:szCs w:val="20"/>
        </w:rPr>
        <w:t xml:space="preserve"> </w:t>
      </w:r>
      <w:r w:rsidR="00A0039E">
        <w:rPr>
          <w:sz w:val="20"/>
          <w:szCs w:val="20"/>
        </w:rPr>
        <w:t>addendum</w:t>
      </w:r>
      <w:r w:rsidR="00A41028">
        <w:rPr>
          <w:sz w:val="20"/>
          <w:szCs w:val="20"/>
        </w:rPr>
        <w:t xml:space="preserve"> extend</w:t>
      </w:r>
      <w:r w:rsidR="004B70AA">
        <w:rPr>
          <w:sz w:val="20"/>
          <w:szCs w:val="20"/>
        </w:rPr>
        <w:t>s</w:t>
      </w:r>
      <w:r w:rsidR="00A41028">
        <w:rPr>
          <w:sz w:val="20"/>
          <w:szCs w:val="20"/>
        </w:rPr>
        <w:t xml:space="preserve"> the reach </w:t>
      </w:r>
      <w:r w:rsidR="00A0039E">
        <w:rPr>
          <w:sz w:val="20"/>
          <w:szCs w:val="20"/>
        </w:rPr>
        <w:t>of SDK consumers,</w:t>
      </w:r>
      <w:r w:rsidR="00A41028">
        <w:rPr>
          <w:sz w:val="20"/>
          <w:szCs w:val="20"/>
        </w:rPr>
        <w:t xml:space="preserve"> </w:t>
      </w:r>
      <w:r w:rsidR="004B70AA">
        <w:rPr>
          <w:sz w:val="20"/>
          <w:szCs w:val="20"/>
        </w:rPr>
        <w:t xml:space="preserve">by using </w:t>
      </w:r>
      <w:r w:rsidR="00610D68">
        <w:rPr>
          <w:sz w:val="20"/>
          <w:szCs w:val="20"/>
        </w:rPr>
        <w:t>Google-standardized deserialization</w:t>
      </w:r>
      <w:r w:rsidR="004B70AA">
        <w:rPr>
          <w:sz w:val="20"/>
          <w:szCs w:val="20"/>
        </w:rPr>
        <w:t xml:space="preserve"> library</w:t>
      </w:r>
      <w:r w:rsidR="00A41028">
        <w:rPr>
          <w:sz w:val="20"/>
          <w:szCs w:val="20"/>
        </w:rPr>
        <w:t>.</w:t>
      </w:r>
      <w:r w:rsidR="00C90265">
        <w:rPr>
          <w:sz w:val="20"/>
          <w:szCs w:val="20"/>
        </w:rPr>
        <w:t xml:space="preserve"> It includes both IDL and binary files. FlatBuffers support should be considered Alpha-level. Other components of the Z31 release have undergone extensive validation.</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D2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swq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q6JQ9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44612BAE" w14:textId="0106EE3B" w:rsidR="002F06F0" w:rsidRDefault="003C5557" w:rsidP="003C5557">
      <w:pPr>
        <w:spacing w:after="0" w:line="240" w:lineRule="auto"/>
        <w:jc w:val="both"/>
      </w:pPr>
      <w:r w:rsidRPr="003C5557">
        <w:lastRenderedPageBreak/>
        <w:t xml:space="preserve">If the developer is willing to take on the dependency of </w:t>
      </w:r>
      <w:r>
        <w:t>FlatBuffers</w:t>
      </w:r>
      <w:r w:rsidR="00DD0DAC">
        <w:rPr>
          <w:rStyle w:val="FootnoteReference"/>
        </w:rPr>
        <w:footnoteReference w:id="5"/>
      </w:r>
      <w:r>
        <w:t>, the deserialization can be driven using the IDL provided</w:t>
      </w:r>
      <w:r w:rsidR="0086550F">
        <w:t xml:space="preserve"> in the FlatBuffers Schema (fbs) IDL file</w:t>
      </w:r>
      <w:r w:rsidR="00163654">
        <w:t>s</w:t>
      </w:r>
      <w:r>
        <w:t xml:space="preserve">. </w:t>
      </w:r>
      <w:r w:rsidR="0086550F">
        <w:t>All binary-content files</w:t>
      </w:r>
      <w:r>
        <w:t xml:space="preserve"> for </w:t>
      </w:r>
      <w:r w:rsidR="00197E30">
        <w:t>deserialization</w:t>
      </w:r>
      <w:r>
        <w:t xml:space="preserve"> </w:t>
      </w:r>
      <w:r w:rsidR="0086550F">
        <w:t>for</w:t>
      </w:r>
      <w:r>
        <w:t xml:space="preserve"> FlatBuffers</w:t>
      </w:r>
      <w:r w:rsidR="0086550F">
        <w:t xml:space="preserve"> </w:t>
      </w:r>
      <w:r w:rsidR="00197E30">
        <w:t>have a</w:t>
      </w:r>
      <w:r w:rsidR="00163654">
        <w:t>n</w:t>
      </w:r>
      <w:r w:rsidR="00197E30">
        <w:t xml:space="preserve"> “</w:t>
      </w:r>
      <w:r w:rsidR="00642108">
        <w:t>.</w:t>
      </w:r>
      <w:r w:rsidR="00610D68">
        <w:t>bin</w:t>
      </w:r>
      <w:r w:rsidR="00197E30">
        <w:t>” extent.</w:t>
      </w:r>
      <w:r w:rsidR="00642108">
        <w:t xml:space="preserve"> </w:t>
      </w:r>
      <w:r w:rsidR="0086550F">
        <w:t>Corresponding</w:t>
      </w:r>
      <w:r w:rsidR="00197E30">
        <w:t xml:space="preserve"> IDL files </w:t>
      </w:r>
      <w:r w:rsidR="004B70AA">
        <w:t>have an “.fbs”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(i.e. *.fbs file)</w:t>
      </w:r>
      <w:r w:rsidR="002F06F0">
        <w:t xml:space="preserve"> can drive deserialization through </w:t>
      </w:r>
      <w:r w:rsidR="004B70AA">
        <w:t xml:space="preserve">the </w:t>
      </w:r>
      <w:r w:rsidR="002F06F0">
        <w:t>F</w:t>
      </w:r>
      <w:r w:rsidR="004B70AA">
        <w:t>latBuffers</w:t>
      </w:r>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5D9F576B" w:rsidR="00587198" w:rsidRDefault="00587198" w:rsidP="00587198">
      <w:pPr>
        <w:spacing w:after="0" w:line="240" w:lineRule="auto"/>
        <w:jc w:val="both"/>
      </w:pPr>
      <w:r>
        <w:t xml:space="preserve">In all cases, the </w:t>
      </w:r>
      <w:r w:rsidR="004B70AA">
        <w:t>files</w:t>
      </w:r>
      <w:r w:rsidR="00F11A30">
        <w:t xml:space="preserve"> in the table below</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xml:space="preserve">, code can be found in the github repo that reads the baseline SDK to </w:t>
      </w:r>
      <w:r w:rsidR="00F11A30">
        <w:t>generate</w:t>
      </w:r>
      <w:r>
        <w:t xml:space="preserve"> the </w:t>
      </w:r>
      <w:r w:rsidR="00F11A30">
        <w:t>content</w:t>
      </w:r>
      <w:r>
        <w:t xml:space="preserve"> files </w:t>
      </w:r>
      <w:r w:rsidR="00F11A30">
        <w:t>in accordance with the</w:t>
      </w:r>
      <w:r>
        <w:t xml:space="preserve"> IDL.</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3150"/>
        <w:gridCol w:w="2965"/>
        <w:gridCol w:w="1870"/>
      </w:tblGrid>
      <w:tr w:rsidR="00972291" w14:paraId="3498E367" w14:textId="77777777" w:rsidTr="00972291">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315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296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r>
              <w:rPr>
                <w:b/>
                <w:bCs/>
                <w:color w:val="FFFFFF" w:themeColor="background1"/>
                <w:sz w:val="40"/>
                <w:szCs w:val="40"/>
              </w:rPr>
              <w:t>FlatBuffer Size</w:t>
            </w:r>
          </w:p>
        </w:tc>
      </w:tr>
      <w:tr w:rsidR="00972291" w14:paraId="3891BBE5" w14:textId="77777777" w:rsidTr="00972291">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3150" w:type="dxa"/>
            <w:tcBorders>
              <w:top w:val="single" w:sz="4" w:space="0" w:color="auto"/>
            </w:tcBorders>
            <w:vAlign w:val="center"/>
          </w:tcPr>
          <w:p w14:paraId="4FC37638" w14:textId="3500A2C0"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2965" w:type="dxa"/>
            <w:tcBorders>
              <w:top w:val="single" w:sz="4" w:space="0" w:color="auto"/>
            </w:tcBorders>
            <w:vAlign w:val="center"/>
          </w:tcPr>
          <w:p w14:paraId="30A92C14" w14:textId="5C970677"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w:t>
            </w:r>
            <w:r w:rsidR="00397B6B">
              <w:rPr>
                <w:sz w:val="36"/>
                <w:szCs w:val="36"/>
              </w:rPr>
              <w:t>bin</w:t>
            </w:r>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972291">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-Index.fbs</w:t>
            </w:r>
          </w:p>
        </w:tc>
        <w:tc>
          <w:tcPr>
            <w:tcW w:w="2965" w:type="dxa"/>
            <w:vAlign w:val="center"/>
          </w:tcPr>
          <w:p w14:paraId="0121C130" w14:textId="38E43E2A" w:rsidR="00972291" w:rsidRPr="006B19ED" w:rsidRDefault="00972291" w:rsidP="00972291">
            <w:pPr>
              <w:jc w:val="both"/>
              <w:rPr>
                <w:sz w:val="36"/>
                <w:szCs w:val="36"/>
              </w:rPr>
            </w:pPr>
            <w:r w:rsidRPr="006B19ED">
              <w:rPr>
                <w:sz w:val="36"/>
                <w:szCs w:val="36"/>
              </w:rPr>
              <w:t>Book</w:t>
            </w:r>
            <w:r>
              <w:rPr>
                <w:sz w:val="36"/>
                <w:szCs w:val="36"/>
              </w:rPr>
              <w:t>-Index.</w:t>
            </w:r>
            <w:r w:rsidR="00397B6B">
              <w:rPr>
                <w:sz w:val="36"/>
                <w:szCs w:val="36"/>
              </w:rPr>
              <w:t>bin</w:t>
            </w:r>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972291">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1CF79CC6" w14:textId="4C62B289" w:rsidR="00972291" w:rsidRPr="00972291" w:rsidRDefault="00972291" w:rsidP="00972291">
            <w:pPr>
              <w:jc w:val="center"/>
              <w:rPr>
                <w:rFonts w:ascii="Consolas" w:hAnsi="Consolas"/>
                <w:sz w:val="32"/>
                <w:szCs w:val="32"/>
              </w:rPr>
            </w:pPr>
            <w:r>
              <w:rPr>
                <w:rFonts w:ascii="Consolas" w:hAnsi="Consolas"/>
                <w:sz w:val="32"/>
                <w:szCs w:val="32"/>
              </w:rPr>
              <w:t xml:space="preserve"> 10</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-Index.fbs</w:t>
            </w:r>
          </w:p>
        </w:tc>
        <w:tc>
          <w:tcPr>
            <w:tcW w:w="2965" w:type="dxa"/>
            <w:vAlign w:val="center"/>
          </w:tcPr>
          <w:p w14:paraId="5933BC3B" w14:textId="2731B54A" w:rsidR="00972291" w:rsidRPr="006B19ED" w:rsidRDefault="00972291" w:rsidP="00972291">
            <w:pPr>
              <w:jc w:val="both"/>
              <w:rPr>
                <w:sz w:val="36"/>
                <w:szCs w:val="36"/>
              </w:rPr>
            </w:pPr>
            <w:r w:rsidRPr="006B19ED">
              <w:rPr>
                <w:sz w:val="36"/>
                <w:szCs w:val="36"/>
              </w:rPr>
              <w:t>Chapter</w:t>
            </w:r>
            <w:r>
              <w:rPr>
                <w:sz w:val="36"/>
                <w:szCs w:val="36"/>
              </w:rPr>
              <w:t>-Index.</w:t>
            </w:r>
            <w:r w:rsidR="00397B6B">
              <w:rPr>
                <w:sz w:val="36"/>
                <w:szCs w:val="36"/>
              </w:rPr>
              <w:t>bin</w:t>
            </w:r>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972291">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DA5870A" w14:textId="333CBC66" w:rsidR="00972291" w:rsidRDefault="00972291" w:rsidP="00972291">
            <w:pPr>
              <w:jc w:val="both"/>
              <w:rPr>
                <w:sz w:val="36"/>
                <w:szCs w:val="36"/>
              </w:rPr>
            </w:pPr>
            <w:r>
              <w:rPr>
                <w:sz w:val="36"/>
                <w:szCs w:val="36"/>
              </w:rPr>
              <w:t>Verse-Index.fbs</w:t>
            </w:r>
          </w:p>
        </w:tc>
        <w:tc>
          <w:tcPr>
            <w:tcW w:w="2965" w:type="dxa"/>
            <w:vAlign w:val="center"/>
          </w:tcPr>
          <w:p w14:paraId="189541A3" w14:textId="68CA774A" w:rsidR="00972291" w:rsidRPr="006B19ED" w:rsidRDefault="00972291" w:rsidP="00972291">
            <w:pPr>
              <w:jc w:val="both"/>
              <w:rPr>
                <w:sz w:val="36"/>
                <w:szCs w:val="36"/>
              </w:rPr>
            </w:pPr>
            <w:r>
              <w:rPr>
                <w:sz w:val="36"/>
                <w:szCs w:val="36"/>
              </w:rPr>
              <w:t>Verse-Index.</w:t>
            </w:r>
            <w:r w:rsidR="00397B6B">
              <w:rPr>
                <w:sz w:val="36"/>
                <w:szCs w:val="36"/>
              </w:rPr>
              <w:t>bin</w:t>
            </w:r>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972291">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5533075F" w14:textId="3C14739D" w:rsidR="00972291" w:rsidRPr="00542D17" w:rsidRDefault="00972291" w:rsidP="00972291">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2965" w:type="dxa"/>
            <w:vAlign w:val="center"/>
          </w:tcPr>
          <w:p w14:paraId="2A8613D7" w14:textId="694B7AAC" w:rsidR="00972291" w:rsidRPr="006B19ED" w:rsidRDefault="00972291" w:rsidP="00972291">
            <w:pPr>
              <w:jc w:val="both"/>
              <w:rPr>
                <w:sz w:val="36"/>
                <w:szCs w:val="36"/>
              </w:rPr>
            </w:pPr>
            <w:r w:rsidRPr="00542D17">
              <w:rPr>
                <w:sz w:val="36"/>
                <w:szCs w:val="36"/>
              </w:rPr>
              <w:t>Lemma</w:t>
            </w:r>
            <w:r>
              <w:rPr>
                <w:sz w:val="36"/>
                <w:szCs w:val="36"/>
              </w:rPr>
              <w:t>ta.</w:t>
            </w:r>
            <w:r w:rsidR="00397B6B">
              <w:rPr>
                <w:sz w:val="36"/>
                <w:szCs w:val="36"/>
              </w:rPr>
              <w:t>bin</w:t>
            </w:r>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972291">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42235A5F" w14:textId="77A430B6" w:rsidR="00972291" w:rsidRPr="00542D17" w:rsidRDefault="00972291" w:rsidP="00972291">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2965" w:type="dxa"/>
            <w:vAlign w:val="center"/>
          </w:tcPr>
          <w:p w14:paraId="2363DEDB" w14:textId="4258DF84" w:rsidR="00972291" w:rsidRPr="006B19ED" w:rsidRDefault="00972291" w:rsidP="00972291">
            <w:pPr>
              <w:jc w:val="both"/>
              <w:rPr>
                <w:sz w:val="36"/>
                <w:szCs w:val="36"/>
              </w:rPr>
            </w:pPr>
            <w:r w:rsidRPr="00542D17">
              <w:rPr>
                <w:sz w:val="36"/>
                <w:szCs w:val="36"/>
              </w:rPr>
              <w:t>Lemma</w:t>
            </w:r>
            <w:r>
              <w:rPr>
                <w:sz w:val="36"/>
                <w:szCs w:val="36"/>
              </w:rPr>
              <w:t>ta-OOV.</w:t>
            </w:r>
            <w:r w:rsidR="00397B6B">
              <w:rPr>
                <w:sz w:val="36"/>
                <w:szCs w:val="36"/>
              </w:rPr>
              <w:t>bin</w:t>
            </w:r>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972291">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33E5AD7" w14:textId="70EDBEC9" w:rsidR="00972291" w:rsidRPr="00142BBA" w:rsidRDefault="00972291" w:rsidP="00972291">
            <w:pPr>
              <w:jc w:val="both"/>
              <w:rPr>
                <w:sz w:val="36"/>
                <w:szCs w:val="36"/>
              </w:rPr>
            </w:pPr>
            <w:r w:rsidRPr="00142BBA">
              <w:rPr>
                <w:sz w:val="36"/>
                <w:szCs w:val="36"/>
              </w:rPr>
              <w:t>Lexicon</w:t>
            </w:r>
            <w:r w:rsidRPr="00542D17">
              <w:rPr>
                <w:sz w:val="36"/>
                <w:szCs w:val="36"/>
              </w:rPr>
              <w:t>.</w:t>
            </w:r>
            <w:r>
              <w:rPr>
                <w:sz w:val="36"/>
                <w:szCs w:val="36"/>
              </w:rPr>
              <w:t>fbs</w:t>
            </w:r>
          </w:p>
        </w:tc>
        <w:tc>
          <w:tcPr>
            <w:tcW w:w="2965" w:type="dxa"/>
            <w:vAlign w:val="center"/>
          </w:tcPr>
          <w:p w14:paraId="69C3B0CE" w14:textId="61BC28C3" w:rsidR="00972291" w:rsidRPr="00542D17" w:rsidRDefault="00972291" w:rsidP="00972291">
            <w:pPr>
              <w:jc w:val="both"/>
              <w:rPr>
                <w:sz w:val="36"/>
                <w:szCs w:val="36"/>
              </w:rPr>
            </w:pPr>
            <w:r w:rsidRPr="00142BBA">
              <w:rPr>
                <w:sz w:val="36"/>
                <w:szCs w:val="36"/>
              </w:rPr>
              <w:t>Lexicon</w:t>
            </w:r>
            <w:r>
              <w:rPr>
                <w:sz w:val="36"/>
                <w:szCs w:val="36"/>
              </w:rPr>
              <w:t>.</w:t>
            </w:r>
            <w:r w:rsidR="00397B6B">
              <w:rPr>
                <w:sz w:val="36"/>
                <w:szCs w:val="36"/>
              </w:rPr>
              <w:t>bin</w:t>
            </w:r>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972291">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AV-WordClass.dxi</w:t>
            </w:r>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015B1C2F" w14:textId="6BBD0AD8" w:rsidR="00972291" w:rsidRDefault="00972291" w:rsidP="00972291">
            <w:pPr>
              <w:jc w:val="both"/>
              <w:rPr>
                <w:sz w:val="36"/>
                <w:szCs w:val="36"/>
              </w:rPr>
            </w:pPr>
            <w:r>
              <w:rPr>
                <w:sz w:val="36"/>
                <w:szCs w:val="36"/>
              </w:rPr>
              <w:t>WordClasses</w:t>
            </w:r>
            <w:r w:rsidRPr="00542D17">
              <w:rPr>
                <w:sz w:val="36"/>
                <w:szCs w:val="36"/>
              </w:rPr>
              <w:t>.</w:t>
            </w:r>
            <w:r>
              <w:rPr>
                <w:sz w:val="36"/>
                <w:szCs w:val="36"/>
              </w:rPr>
              <w:t>fbs</w:t>
            </w:r>
          </w:p>
        </w:tc>
        <w:tc>
          <w:tcPr>
            <w:tcW w:w="2965" w:type="dxa"/>
            <w:vAlign w:val="center"/>
          </w:tcPr>
          <w:p w14:paraId="01EC6AF0" w14:textId="03E89BFD" w:rsidR="00972291" w:rsidRPr="00542D17" w:rsidRDefault="00972291" w:rsidP="00972291">
            <w:pPr>
              <w:jc w:val="both"/>
              <w:rPr>
                <w:sz w:val="36"/>
                <w:szCs w:val="36"/>
              </w:rPr>
            </w:pPr>
            <w:r>
              <w:rPr>
                <w:sz w:val="36"/>
                <w:szCs w:val="36"/>
              </w:rPr>
              <w:t>WordClasses.</w:t>
            </w:r>
            <w:r w:rsidR="00397B6B">
              <w:rPr>
                <w:sz w:val="36"/>
                <w:szCs w:val="36"/>
              </w:rPr>
              <w:t>bin</w:t>
            </w:r>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972291">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14F3D4B6" w14:textId="4E55FAFA" w:rsidR="00972291" w:rsidRDefault="00972291" w:rsidP="00972291">
            <w:pPr>
              <w:jc w:val="both"/>
              <w:rPr>
                <w:sz w:val="36"/>
                <w:szCs w:val="36"/>
              </w:rPr>
            </w:pPr>
            <w:r>
              <w:rPr>
                <w:sz w:val="36"/>
                <w:szCs w:val="36"/>
              </w:rPr>
              <w:t>Names</w:t>
            </w:r>
            <w:r w:rsidRPr="00542D17">
              <w:rPr>
                <w:sz w:val="36"/>
                <w:szCs w:val="36"/>
              </w:rPr>
              <w:t>.</w:t>
            </w:r>
            <w:r>
              <w:rPr>
                <w:sz w:val="36"/>
                <w:szCs w:val="36"/>
              </w:rPr>
              <w:t>fbs</w:t>
            </w:r>
          </w:p>
        </w:tc>
        <w:tc>
          <w:tcPr>
            <w:tcW w:w="2965" w:type="dxa"/>
            <w:vAlign w:val="center"/>
          </w:tcPr>
          <w:p w14:paraId="63DBED89" w14:textId="0F37C375" w:rsidR="00972291" w:rsidRPr="00542D17" w:rsidRDefault="00972291" w:rsidP="00972291">
            <w:pPr>
              <w:jc w:val="both"/>
              <w:rPr>
                <w:sz w:val="36"/>
                <w:szCs w:val="36"/>
              </w:rPr>
            </w:pPr>
            <w:r>
              <w:rPr>
                <w:sz w:val="36"/>
                <w:szCs w:val="36"/>
              </w:rPr>
              <w:t>Names.</w:t>
            </w:r>
            <w:r w:rsidR="00397B6B">
              <w:rPr>
                <w:sz w:val="36"/>
                <w:szCs w:val="36"/>
              </w:rPr>
              <w:t>bin</w:t>
            </w:r>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66E68631" w:rsidR="004D3108" w:rsidRDefault="00F73BB1" w:rsidP="002F6537">
      <w:r>
        <w:t xml:space="preserve">The FlatBuffers-special files identified above can be found in the FB </w:t>
      </w:r>
      <w:r w:rsidR="00334B9C">
        <w:t>sub-</w:t>
      </w:r>
      <w:r>
        <w:t>folder of the Z-Series SDK</w:t>
      </w:r>
      <w:r w:rsidR="0034132A">
        <w:rPr>
          <w:rStyle w:val="FootnoteReference"/>
        </w:rPr>
        <w:footnoteReference w:id="6"/>
      </w:r>
      <w:r w:rsidR="000B76ED">
        <w:t>.</w:t>
      </w:r>
      <w:r w:rsidR="00E60F23">
        <w:t xml:space="preserve"> </w:t>
      </w:r>
      <w:r w:rsidR="008622CF">
        <w:t xml:space="preserve">  These files have been written using FlatSharp</w:t>
      </w:r>
      <w:r w:rsidR="00E158D3">
        <w:rPr>
          <w:rStyle w:val="FootnoteReference"/>
        </w:rPr>
        <w:footnoteReference w:id="7"/>
      </w:r>
      <w:r w:rsidR="008622CF">
        <w:t xml:space="preserve">. As of </w:t>
      </w:r>
      <w:r w:rsidR="0034132A">
        <w:t>the date of this documentation, all FlatBuffer assets should be considered Alpha-quality. This new aspect of the SDK is in preview and still being actively developed and tested</w:t>
      </w:r>
      <w:r w:rsidR="002F6537">
        <w:t xml:space="preserve">. </w:t>
      </w:r>
    </w:p>
    <w:sectPr w:rsidR="004D3108"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396CE" w14:textId="77777777" w:rsidR="00D7489E" w:rsidRDefault="00D7489E" w:rsidP="00DC16A1">
      <w:pPr>
        <w:spacing w:after="0" w:line="240" w:lineRule="auto"/>
      </w:pPr>
      <w:r>
        <w:separator/>
      </w:r>
    </w:p>
  </w:endnote>
  <w:endnote w:type="continuationSeparator" w:id="0">
    <w:p w14:paraId="7197A2FC" w14:textId="77777777" w:rsidR="00D7489E" w:rsidRDefault="00D7489E"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2046B146" w:rsidR="002F06F0" w:rsidRDefault="002F06F0" w:rsidP="00FE2E1F">
        <w:pPr>
          <w:spacing w:before="80" w:after="0"/>
          <w:jc w:val="both"/>
        </w:pPr>
        <w:r>
          <w:t>© 202</w:t>
        </w:r>
        <w:r w:rsidR="00B60808">
          <w:t>3</w:t>
        </w:r>
        <w:r>
          <w:t xml:space="preserve"> Kevin Wonus                                                                                                                         </w:t>
        </w:r>
        <w:r w:rsidR="00AF0A26">
          <w:t xml:space="preserve">                 </w:t>
        </w:r>
        <w:r>
          <w:t xml:space="preserve">                                                    </w:t>
        </w:r>
        <w:r w:rsidR="0057687D">
          <w:t xml:space="preserve">     </w:t>
        </w:r>
        <w:r w:rsidR="00AF0A26">
          <w:t>FlatBuffers</w:t>
        </w:r>
        <w:r w:rsidR="0057687D">
          <w:t xml:space="preserve">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2A9E" w14:textId="77777777" w:rsidR="00D7489E" w:rsidRDefault="00D7489E" w:rsidP="00DC16A1">
      <w:pPr>
        <w:spacing w:after="0" w:line="240" w:lineRule="auto"/>
      </w:pPr>
      <w:r>
        <w:separator/>
      </w:r>
    </w:p>
  </w:footnote>
  <w:footnote w:type="continuationSeparator" w:id="0">
    <w:p w14:paraId="06A41EFE" w14:textId="77777777" w:rsidR="00D7489E" w:rsidRDefault="00D7489E"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7B29ACAB" w14:textId="47153B90" w:rsidR="00DD0DAC" w:rsidRDefault="00DD0DAC">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3B5E580E" w14:textId="5AEE6AD7" w:rsidR="0034132A" w:rsidRDefault="0034132A">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34B6E7F5" w14:textId="386F0351" w:rsidR="00E158D3" w:rsidRDefault="00E158D3">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0C207B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46AAF1E7"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w:t>
          </w:r>
          <w:r w:rsidR="00610D68">
            <w:rPr>
              <w:rFonts w:ascii="Consolas" w:eastAsia="Times New Roman" w:hAnsi="Consolas" w:cs="Times New Roman"/>
              <w:sz w:val="18"/>
              <w:szCs w:val="18"/>
            </w:rPr>
            <w:t>31</w:t>
          </w:r>
          <w:r w:rsidR="002141E7">
            <w:rPr>
              <w:rFonts w:cstheme="minorHAnsi"/>
              <w:sz w:val="20"/>
              <w:szCs w:val="20"/>
              <w:vertAlign w:val="subscript"/>
            </w:rPr>
            <w:t>7</w:t>
          </w:r>
        </w:p>
        <w:p w14:paraId="3107726B" w14:textId="7D671961"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2141E7">
            <w:rPr>
              <w:rFonts w:cstheme="minorHAnsi"/>
              <w:sz w:val="20"/>
              <w:szCs w:val="20"/>
              <w:vertAlign w:val="subscript"/>
            </w:rPr>
            <w:t>7</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r w:rsidR="00AF0A26">
            <w:rPr>
              <w:rFonts w:ascii="Times New Roman" w:eastAsia="Times New Roman" w:hAnsi="Times New Roman" w:cs="Times New Roman"/>
              <w:sz w:val="40"/>
            </w:rPr>
            <w:t>FlatBuffers</w:t>
          </w:r>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15BCCEA5" w:rsidR="002F06F0" w:rsidRDefault="002F06F0"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AC0F62">
            <w:rPr>
              <w:rFonts w:ascii="Times New Roman" w:eastAsia="Times New Roman" w:hAnsi="Times New Roman" w:cs="Times New Roman"/>
              <w:sz w:val="28"/>
            </w:rPr>
            <w:t>3.1</w:t>
          </w:r>
          <w:r>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3E1640E2"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sidR="00610D68">
            <w:rPr>
              <w:rFonts w:ascii="Consolas" w:eastAsia="Times New Roman" w:hAnsi="Consolas" w:cs="Times New Roman"/>
              <w:sz w:val="18"/>
              <w:szCs w:val="18"/>
            </w:rPr>
            <w:t>Z31</w:t>
          </w:r>
          <w:r w:rsidR="00610D68" w:rsidRPr="00610D68">
            <w:rPr>
              <w:rFonts w:cstheme="minorHAnsi"/>
              <w:sz w:val="20"/>
              <w:szCs w:val="20"/>
              <w:vertAlign w:val="subscript"/>
            </w:rPr>
            <w:t>α</w:t>
          </w:r>
        </w:p>
        <w:p w14:paraId="71BC3E5D" w14:textId="0475EC54"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sidR="00610D68">
            <w:rPr>
              <w:rFonts w:ascii="Consolas" w:eastAsia="Times New Roman" w:hAnsi="Consolas" w:cs="Times New Roman"/>
              <w:sz w:val="18"/>
              <w:szCs w:val="18"/>
            </w:rPr>
            <w:t>Z31</w:t>
          </w:r>
          <w:r w:rsidR="002141E7">
            <w:rPr>
              <w:rFonts w:cstheme="minorHAnsi"/>
              <w:sz w:val="20"/>
              <w:szCs w:val="20"/>
              <w:vertAlign w:val="subscript"/>
            </w:rPr>
            <w:t>7</w:t>
          </w:r>
        </w:p>
      </w:tc>
    </w:tr>
  </w:tbl>
  <w:p w14:paraId="7A255261" w14:textId="77777777" w:rsidR="002F06F0" w:rsidRPr="00DC16A1" w:rsidRDefault="002F06F0">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710CC"/>
    <w:rsid w:val="001726CE"/>
    <w:rsid w:val="00172C59"/>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1E7"/>
    <w:rsid w:val="00214D37"/>
    <w:rsid w:val="00224C3C"/>
    <w:rsid w:val="0024080D"/>
    <w:rsid w:val="00250340"/>
    <w:rsid w:val="00257A27"/>
    <w:rsid w:val="00260BBB"/>
    <w:rsid w:val="0026128A"/>
    <w:rsid w:val="00261696"/>
    <w:rsid w:val="00264AC6"/>
    <w:rsid w:val="00265A5B"/>
    <w:rsid w:val="002762A4"/>
    <w:rsid w:val="002773FE"/>
    <w:rsid w:val="00280A0B"/>
    <w:rsid w:val="002873AB"/>
    <w:rsid w:val="0029602F"/>
    <w:rsid w:val="002A0234"/>
    <w:rsid w:val="002A63EC"/>
    <w:rsid w:val="002A7F84"/>
    <w:rsid w:val="002B343C"/>
    <w:rsid w:val="002B4DAD"/>
    <w:rsid w:val="002B5CE2"/>
    <w:rsid w:val="002C2CAE"/>
    <w:rsid w:val="002D62E5"/>
    <w:rsid w:val="002E343D"/>
    <w:rsid w:val="002F06F0"/>
    <w:rsid w:val="002F5E8E"/>
    <w:rsid w:val="002F6537"/>
    <w:rsid w:val="0030154A"/>
    <w:rsid w:val="00302EC0"/>
    <w:rsid w:val="003073C3"/>
    <w:rsid w:val="003164F2"/>
    <w:rsid w:val="00317B62"/>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97B6B"/>
    <w:rsid w:val="003A5CF4"/>
    <w:rsid w:val="003B0EDA"/>
    <w:rsid w:val="003C1E5F"/>
    <w:rsid w:val="003C5557"/>
    <w:rsid w:val="003C6F3A"/>
    <w:rsid w:val="003D3DB7"/>
    <w:rsid w:val="003E6252"/>
    <w:rsid w:val="003F2DF7"/>
    <w:rsid w:val="003F3DE7"/>
    <w:rsid w:val="0040127C"/>
    <w:rsid w:val="00411F71"/>
    <w:rsid w:val="00412175"/>
    <w:rsid w:val="0041332E"/>
    <w:rsid w:val="004243AB"/>
    <w:rsid w:val="004309C7"/>
    <w:rsid w:val="00442912"/>
    <w:rsid w:val="00443D94"/>
    <w:rsid w:val="00446A7C"/>
    <w:rsid w:val="00447F1D"/>
    <w:rsid w:val="00453F83"/>
    <w:rsid w:val="004631F4"/>
    <w:rsid w:val="0046530F"/>
    <w:rsid w:val="00472C08"/>
    <w:rsid w:val="00493A91"/>
    <w:rsid w:val="004A155E"/>
    <w:rsid w:val="004A5F56"/>
    <w:rsid w:val="004B1844"/>
    <w:rsid w:val="004B70AA"/>
    <w:rsid w:val="004B7A44"/>
    <w:rsid w:val="004C50AE"/>
    <w:rsid w:val="004D3108"/>
    <w:rsid w:val="004D6083"/>
    <w:rsid w:val="004D740B"/>
    <w:rsid w:val="004E2833"/>
    <w:rsid w:val="004F4BAD"/>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A04B4"/>
    <w:rsid w:val="005A09ED"/>
    <w:rsid w:val="005A3283"/>
    <w:rsid w:val="005A32B9"/>
    <w:rsid w:val="005A51A7"/>
    <w:rsid w:val="005A6C9A"/>
    <w:rsid w:val="005C7877"/>
    <w:rsid w:val="005D0055"/>
    <w:rsid w:val="005D7589"/>
    <w:rsid w:val="005E6353"/>
    <w:rsid w:val="005F3235"/>
    <w:rsid w:val="005F5082"/>
    <w:rsid w:val="006035CD"/>
    <w:rsid w:val="00610D68"/>
    <w:rsid w:val="00615117"/>
    <w:rsid w:val="00620475"/>
    <w:rsid w:val="00636739"/>
    <w:rsid w:val="00641955"/>
    <w:rsid w:val="00641ECD"/>
    <w:rsid w:val="00642108"/>
    <w:rsid w:val="006533A1"/>
    <w:rsid w:val="00657AE4"/>
    <w:rsid w:val="0066218F"/>
    <w:rsid w:val="00671BB8"/>
    <w:rsid w:val="006723B3"/>
    <w:rsid w:val="006725AB"/>
    <w:rsid w:val="006759FE"/>
    <w:rsid w:val="00675CF1"/>
    <w:rsid w:val="006914CA"/>
    <w:rsid w:val="006B19ED"/>
    <w:rsid w:val="006B4B4C"/>
    <w:rsid w:val="006B6C61"/>
    <w:rsid w:val="006D0791"/>
    <w:rsid w:val="006D1F16"/>
    <w:rsid w:val="006E05ED"/>
    <w:rsid w:val="006F7324"/>
    <w:rsid w:val="006F790A"/>
    <w:rsid w:val="00700D8F"/>
    <w:rsid w:val="00706DA7"/>
    <w:rsid w:val="00711202"/>
    <w:rsid w:val="00712E3B"/>
    <w:rsid w:val="007160C9"/>
    <w:rsid w:val="00716EB6"/>
    <w:rsid w:val="007278BB"/>
    <w:rsid w:val="00730305"/>
    <w:rsid w:val="00734429"/>
    <w:rsid w:val="00736B3F"/>
    <w:rsid w:val="00737057"/>
    <w:rsid w:val="007411CE"/>
    <w:rsid w:val="007525D1"/>
    <w:rsid w:val="007571D6"/>
    <w:rsid w:val="00766475"/>
    <w:rsid w:val="00777FFD"/>
    <w:rsid w:val="00783B0C"/>
    <w:rsid w:val="007936C5"/>
    <w:rsid w:val="007A082D"/>
    <w:rsid w:val="007A7D5D"/>
    <w:rsid w:val="007B07D8"/>
    <w:rsid w:val="007B0A81"/>
    <w:rsid w:val="007C462D"/>
    <w:rsid w:val="007C5001"/>
    <w:rsid w:val="007C5383"/>
    <w:rsid w:val="007D489A"/>
    <w:rsid w:val="007D5266"/>
    <w:rsid w:val="007D74CB"/>
    <w:rsid w:val="007E45EA"/>
    <w:rsid w:val="007E759B"/>
    <w:rsid w:val="007F0948"/>
    <w:rsid w:val="007F2F63"/>
    <w:rsid w:val="007F30FA"/>
    <w:rsid w:val="007F34D3"/>
    <w:rsid w:val="007F771B"/>
    <w:rsid w:val="00801DC9"/>
    <w:rsid w:val="00803151"/>
    <w:rsid w:val="0080675E"/>
    <w:rsid w:val="00810443"/>
    <w:rsid w:val="00810566"/>
    <w:rsid w:val="00810EA3"/>
    <w:rsid w:val="00816241"/>
    <w:rsid w:val="0082221E"/>
    <w:rsid w:val="00823417"/>
    <w:rsid w:val="00823C40"/>
    <w:rsid w:val="00825D89"/>
    <w:rsid w:val="008265BA"/>
    <w:rsid w:val="008355DA"/>
    <w:rsid w:val="0084191C"/>
    <w:rsid w:val="00853554"/>
    <w:rsid w:val="00857F0F"/>
    <w:rsid w:val="0086016C"/>
    <w:rsid w:val="008622CF"/>
    <w:rsid w:val="0086550F"/>
    <w:rsid w:val="00872AAD"/>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4F4C"/>
    <w:rsid w:val="009A581C"/>
    <w:rsid w:val="009B1BEB"/>
    <w:rsid w:val="009B258A"/>
    <w:rsid w:val="009B2658"/>
    <w:rsid w:val="009B5444"/>
    <w:rsid w:val="009D1043"/>
    <w:rsid w:val="009D2297"/>
    <w:rsid w:val="009D3F91"/>
    <w:rsid w:val="009D4CD9"/>
    <w:rsid w:val="009E044C"/>
    <w:rsid w:val="009F4162"/>
    <w:rsid w:val="009F4265"/>
    <w:rsid w:val="00A0039E"/>
    <w:rsid w:val="00A065DF"/>
    <w:rsid w:val="00A06C5A"/>
    <w:rsid w:val="00A115D3"/>
    <w:rsid w:val="00A1261A"/>
    <w:rsid w:val="00A13207"/>
    <w:rsid w:val="00A239FB"/>
    <w:rsid w:val="00A25311"/>
    <w:rsid w:val="00A2538A"/>
    <w:rsid w:val="00A41028"/>
    <w:rsid w:val="00A54413"/>
    <w:rsid w:val="00A570FC"/>
    <w:rsid w:val="00A62BFF"/>
    <w:rsid w:val="00A72F73"/>
    <w:rsid w:val="00A75A44"/>
    <w:rsid w:val="00A815CC"/>
    <w:rsid w:val="00A90E63"/>
    <w:rsid w:val="00A97930"/>
    <w:rsid w:val="00AA62F9"/>
    <w:rsid w:val="00AA7BBD"/>
    <w:rsid w:val="00AB1CCD"/>
    <w:rsid w:val="00AC0199"/>
    <w:rsid w:val="00AC0568"/>
    <w:rsid w:val="00AC0F62"/>
    <w:rsid w:val="00AC1D57"/>
    <w:rsid w:val="00AC5431"/>
    <w:rsid w:val="00AC6110"/>
    <w:rsid w:val="00AC723D"/>
    <w:rsid w:val="00AC7FD7"/>
    <w:rsid w:val="00AD0EAB"/>
    <w:rsid w:val="00AF0A26"/>
    <w:rsid w:val="00AF5304"/>
    <w:rsid w:val="00B03B91"/>
    <w:rsid w:val="00B053F4"/>
    <w:rsid w:val="00B07782"/>
    <w:rsid w:val="00B077BF"/>
    <w:rsid w:val="00B10EA3"/>
    <w:rsid w:val="00B153BB"/>
    <w:rsid w:val="00B15531"/>
    <w:rsid w:val="00B34A8A"/>
    <w:rsid w:val="00B45CB3"/>
    <w:rsid w:val="00B469C1"/>
    <w:rsid w:val="00B52FA7"/>
    <w:rsid w:val="00B60808"/>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6FF"/>
    <w:rsid w:val="00BF3C8D"/>
    <w:rsid w:val="00BF42EF"/>
    <w:rsid w:val="00C2013E"/>
    <w:rsid w:val="00C25638"/>
    <w:rsid w:val="00C321F5"/>
    <w:rsid w:val="00C32822"/>
    <w:rsid w:val="00C43EA2"/>
    <w:rsid w:val="00C4477C"/>
    <w:rsid w:val="00C45A18"/>
    <w:rsid w:val="00C45FE3"/>
    <w:rsid w:val="00C476C5"/>
    <w:rsid w:val="00C476F5"/>
    <w:rsid w:val="00C577C2"/>
    <w:rsid w:val="00C641C1"/>
    <w:rsid w:val="00C77604"/>
    <w:rsid w:val="00C8233C"/>
    <w:rsid w:val="00C901CE"/>
    <w:rsid w:val="00C90265"/>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7489E"/>
    <w:rsid w:val="00D845A1"/>
    <w:rsid w:val="00D845E7"/>
    <w:rsid w:val="00D86113"/>
    <w:rsid w:val="00D96FC4"/>
    <w:rsid w:val="00DB2676"/>
    <w:rsid w:val="00DB3614"/>
    <w:rsid w:val="00DC016B"/>
    <w:rsid w:val="00DC16A1"/>
    <w:rsid w:val="00DC7794"/>
    <w:rsid w:val="00DD0DAC"/>
    <w:rsid w:val="00DD47F3"/>
    <w:rsid w:val="00DD5144"/>
    <w:rsid w:val="00DD74ED"/>
    <w:rsid w:val="00DE63F7"/>
    <w:rsid w:val="00DE6F0C"/>
    <w:rsid w:val="00DE7814"/>
    <w:rsid w:val="00DF0795"/>
    <w:rsid w:val="00E11003"/>
    <w:rsid w:val="00E158D3"/>
    <w:rsid w:val="00E20344"/>
    <w:rsid w:val="00E208CC"/>
    <w:rsid w:val="00E25520"/>
    <w:rsid w:val="00E26FB1"/>
    <w:rsid w:val="00E32012"/>
    <w:rsid w:val="00E40989"/>
    <w:rsid w:val="00E425F6"/>
    <w:rsid w:val="00E47F99"/>
    <w:rsid w:val="00E51D3A"/>
    <w:rsid w:val="00E60F23"/>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 Type="http://schemas.openxmlformats.org/officeDocument/2006/relationships/styles" Target="styles.xml"/><Relationship Id="rId21" Type="http://schemas.openxmlformats.org/officeDocument/2006/relationships/hyperlink" Target="http://avtext.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42270</TotalTime>
  <Pages>15</Pages>
  <Words>4358</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112</cp:revision>
  <cp:lastPrinted>2023-01-03T04:28:00Z</cp:lastPrinted>
  <dcterms:created xsi:type="dcterms:W3CDTF">2020-07-19T03:21:00Z</dcterms:created>
  <dcterms:modified xsi:type="dcterms:W3CDTF">2023-01-08T02:27:00Z</dcterms:modified>
</cp:coreProperties>
</file>