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0DE3A556"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golang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by working with the provided golang sources, or go all in from scratch with</w:t>
      </w:r>
      <w:r w:rsidR="003F2DF7"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455515ED" w:rsidR="00266399" w:rsidRDefault="001522F0" w:rsidP="00266399">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0"/>
        <w:gridCol w:w="254"/>
        <w:gridCol w:w="2167"/>
        <w:gridCol w:w="899"/>
        <w:gridCol w:w="900"/>
        <w:gridCol w:w="1969"/>
        <w:gridCol w:w="842"/>
        <w:gridCol w:w="1325"/>
        <w:gridCol w:w="1565"/>
        <w:gridCol w:w="1524"/>
        <w:gridCol w:w="1111"/>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7CE28085"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Pr>
          <w:noProof/>
        </w:rPr>
        <w:t xml:space="preserve"> </w: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287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900"/>
        <w:gridCol w:w="990"/>
        <w:gridCol w:w="2340"/>
        <w:gridCol w:w="1350"/>
        <w:gridCol w:w="180"/>
        <w:gridCol w:w="1710"/>
      </w:tblGrid>
      <w:tr w:rsidR="00F85C4C" w:rsidRPr="004C3068" w14:paraId="54B5C23A" w14:textId="2AAA0A9E" w:rsidTr="00F85C4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9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99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34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24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F85C4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9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99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34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3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189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F85C4C" w:rsidRPr="000B32F5"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7E67430C" w:rsidR="00F85C4C" w:rsidRDefault="00F85C4C"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F85C4C" w:rsidRPr="000B32F5" w:rsidRDefault="00F85C4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F85C4C" w:rsidRPr="000B32F5" w:rsidRDefault="00F85C4C"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F85C4C" w:rsidRPr="00B632F2"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99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F85C4C" w:rsidRPr="000B32F5" w:rsidRDefault="00F85C4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F85C4C" w:rsidRDefault="00F85C4C"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9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99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F85C4C" w:rsidRPr="000B32F5" w:rsidRDefault="00F85C4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F85C4C" w:rsidRDefault="00F85C4C"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9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99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F85C4C">
        <w:trPr>
          <w:trHeight w:val="313"/>
        </w:trPr>
        <w:tc>
          <w:tcPr>
            <w:tcW w:w="1287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F85C4C" w:rsidRDefault="00F85C4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9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99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3282993E" w:rsidR="00AF3997" w:rsidRPr="00D465DE" w:rsidRDefault="00E83FAA" w:rsidP="00F85C4C">
      <w:pPr>
        <w:spacing w:before="160"/>
        <w:ind w:right="36"/>
        <w:jc w:val="both"/>
        <w:rPr>
          <w:noProof/>
          <w:sz w:val="20"/>
          <w:szCs w:val="20"/>
        </w:rPr>
      </w:pPr>
      <w:r>
        <w:rPr>
          <w:noProof/>
          <w:sz w:val="20"/>
          <w:szCs w:val="20"/>
        </w:rPr>
        <w:t>The dashes (-) above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In the </w:t>
      </w:r>
      <w:r w:rsidRPr="00E83FAA">
        <w:rPr>
          <w:noProof/>
          <w:sz w:val="20"/>
          <w:szCs w:val="20"/>
        </w:rPr>
        <w:t>"</w:t>
      </w:r>
      <w:r>
        <w:rPr>
          <w:noProof/>
          <w:sz w:val="20"/>
          <w:szCs w:val="20"/>
        </w:rPr>
        <w:t>a2 a3 a4</w:t>
      </w:r>
      <w:r w:rsidRPr="00E83FAA">
        <w:rPr>
          <w:noProof/>
          <w:sz w:val="20"/>
          <w:szCs w:val="20"/>
        </w:rPr>
        <w:t>"</w:t>
      </w:r>
      <w:r>
        <w:rPr>
          <w:noProof/>
          <w:sz w:val="20"/>
          <w:szCs w:val="20"/>
        </w:rPr>
        <w:t xml:space="preserve"> column, these nine bytes contain a 2-character abbreviation, a 3-character abbreviation, and a 4</w:t>
      </w:r>
      <w:r w:rsidR="00902E8A">
        <w:rPr>
          <w:noProof/>
          <w:sz w:val="20"/>
          <w:szCs w:val="20"/>
        </w:rPr>
        <w:t>-character abbreviation</w:t>
      </w:r>
      <w:r>
        <w:rPr>
          <w:noProof/>
          <w:sz w:val="20"/>
          <w:szCs w:val="20"/>
        </w:rPr>
        <w:t xml:space="preserve">,  </w:t>
      </w:r>
      <w:r w:rsidR="00AF3997" w:rsidRPr="00D465DE">
        <w:rPr>
          <w:noProof/>
          <w:sz w:val="20"/>
          <w:szCs w:val="20"/>
        </w:rPr>
        <w:t xml:space="preserve">The AV-Book.ix file has an updated format, beginning with the Z31 </w:t>
      </w:r>
      <w:r w:rsidR="00DE3684" w:rsidRPr="00D465DE">
        <w:rPr>
          <w:noProof/>
          <w:sz w:val="20"/>
          <w:szCs w:val="20"/>
        </w:rPr>
        <w:t xml:space="preserve">revision.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790"/>
      </w:tblGrid>
      <w:tr w:rsidR="004678E7" w:rsidRPr="004C3068" w14:paraId="3C22F1DE" w14:textId="77777777" w:rsidTr="00F85C4C">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5E1C5CCB" w:rsidR="00BC29EC" w:rsidRDefault="00A94876"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 xml:space="preserve">It should be noted that both </w:t>
      </w:r>
      <w:r w:rsidR="00BC29EC">
        <w:rPr>
          <w:rFonts w:asciiTheme="minorHAnsi" w:hAnsiTheme="minorHAnsi" w:cstheme="minorHAnsi"/>
          <w:sz w:val="28"/>
          <w:szCs w:val="28"/>
        </w:rPr>
        <w:t xml:space="preserve">the PN+POS(12) </w:t>
      </w:r>
      <w:r>
        <w:rPr>
          <w:rFonts w:asciiTheme="minorHAnsi" w:hAnsiTheme="minorHAnsi" w:cstheme="minorHAnsi"/>
          <w:sz w:val="28"/>
          <w:szCs w:val="28"/>
        </w:rPr>
        <w:t xml:space="preserve">field and </w:t>
      </w:r>
      <w:r w:rsidR="00BC29EC">
        <w:rPr>
          <w:rFonts w:asciiTheme="minorHAnsi" w:hAnsiTheme="minorHAnsi" w:cstheme="minorHAnsi"/>
          <w:sz w:val="28"/>
          <w:szCs w:val="28"/>
        </w:rPr>
        <w:t xml:space="preserve">the POS(32) filed, both found in AV-Writ.dx represent Part-of-Speech in two distinct, but related manners.  POS(12) is entirely bitwise, and therefore easier to make programmatic determinations based upon that field. POS(32) is a 5-bit encoded string. Decoding the 32-bit value into a string can be performed using the reference code cited below.  POS tagging itself was performed by Morph-Adorner (also cited below). POS(12) is derived both from the MorphAdorner tag and innate knowledge in the Digital-AV compiler of pronouns and morphology.  And older version of the SDK contained a HashMap table, mapping POS(32) into a collection of POS(12). However, that file </w:t>
      </w:r>
      <w:r w:rsidR="008D224D">
        <w:rPr>
          <w:rFonts w:asciiTheme="minorHAnsi" w:hAnsiTheme="minorHAnsi" w:cstheme="minorHAnsi"/>
          <w:sz w:val="28"/>
          <w:szCs w:val="28"/>
        </w:rPr>
        <w:t>was deemed incomplete and has been eliminated from the SDK. Still, the mapping is likely useful for search and sample code is provided in the foundations folder for harvesting this information 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09941C30" w:rsidR="00641ECD" w:rsidRDefault="00344280" w:rsidP="0086016C">
      <w:pPr>
        <w:pStyle w:val="ListParagraph"/>
        <w:numPr>
          <w:ilvl w:val="0"/>
          <w:numId w:val="1"/>
        </w:numPr>
        <w:spacing w:after="0" w:line="240" w:lineRule="auto"/>
        <w:ind w:left="360"/>
        <w:jc w:val="both"/>
        <w:rPr>
          <w:sz w:val="20"/>
          <w:szCs w:val="20"/>
        </w:rPr>
      </w:pPr>
      <w:r>
        <w:rPr>
          <w:sz w:val="20"/>
          <w:szCs w:val="20"/>
        </w:rPr>
        <w:t>With respect to revisions prior to Z14, a</w:t>
      </w:r>
      <w:r w:rsidR="00C808BB">
        <w:rPr>
          <w:sz w:val="20"/>
          <w:szCs w:val="20"/>
        </w:rPr>
        <w:t>dditional</w:t>
      </w:r>
      <w:r w:rsidR="001F2125">
        <w:rPr>
          <w:sz w:val="20"/>
          <w:szCs w:val="20"/>
        </w:rPr>
        <w:t xml:space="preserve"> </w:t>
      </w:r>
      <w:r w:rsidR="00641ECD">
        <w:rPr>
          <w:sz w:val="20"/>
          <w:szCs w:val="20"/>
        </w:rPr>
        <w:t>field</w:t>
      </w:r>
      <w:r w:rsidR="001F2125">
        <w:rPr>
          <w:sz w:val="20"/>
          <w:szCs w:val="20"/>
        </w:rPr>
        <w:t>s</w:t>
      </w:r>
      <w:r w:rsidR="00641ECD">
        <w:rPr>
          <w:sz w:val="20"/>
          <w:szCs w:val="20"/>
        </w:rPr>
        <w:t xml:space="preserve"> ha</w:t>
      </w:r>
      <w:r w:rsidR="001F2125">
        <w:rPr>
          <w:sz w:val="20"/>
          <w:szCs w:val="20"/>
        </w:rPr>
        <w:t xml:space="preserve">ve </w:t>
      </w:r>
      <w:r w:rsidR="00641ECD">
        <w:rPr>
          <w:sz w:val="20"/>
          <w:szCs w:val="20"/>
        </w:rPr>
        <w:t>been</w:t>
      </w:r>
      <w:r w:rsidR="002B4DAD">
        <w:rPr>
          <w:sz w:val="20"/>
          <w:szCs w:val="20"/>
        </w:rPr>
        <w:t xml:space="preserve"> added to AV-Writ</w:t>
      </w:r>
      <w:r w:rsidR="00C808BB">
        <w:rPr>
          <w:sz w:val="20"/>
          <w:szCs w:val="20"/>
        </w:rPr>
        <w:t>.dx</w:t>
      </w:r>
      <w:r>
        <w:rPr>
          <w:sz w:val="20"/>
          <w:szCs w:val="20"/>
        </w:rPr>
        <w:t xml:space="preserve">, to include </w:t>
      </w:r>
      <w:r w:rsidR="002B4DAD">
        <w:rPr>
          <w:sz w:val="20"/>
          <w:szCs w:val="20"/>
        </w:rPr>
        <w:t>Part-of-Speech representation</w:t>
      </w:r>
      <w:r w:rsidR="001F2125">
        <w:rPr>
          <w:sz w:val="20"/>
          <w:szCs w:val="20"/>
        </w:rPr>
        <w:t xml:space="preserve"> and lemmatization</w:t>
      </w:r>
      <w:r w:rsidR="002B4DAD">
        <w:rPr>
          <w:sz w:val="20"/>
          <w:szCs w:val="20"/>
        </w:rPr>
        <w:t xml:space="preserve"> for ea</w:t>
      </w:r>
      <w:r w:rsidR="00641ECD">
        <w:rPr>
          <w:sz w:val="20"/>
          <w:szCs w:val="20"/>
        </w:rPr>
        <w:t>ch word.</w:t>
      </w:r>
    </w:p>
    <w:p w14:paraId="7E13277B" w14:textId="68C8755B"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965A68" w:rsidRPr="001D68E9">
        <w:rPr>
          <w:sz w:val="20"/>
          <w:szCs w:val="20"/>
        </w:rPr>
        <w:t xml:space="preserve"> NLTK </w:t>
      </w:r>
      <w:r w:rsidR="00344280">
        <w:rPr>
          <w:sz w:val="20"/>
          <w:szCs w:val="20"/>
        </w:rPr>
        <w:t>is only utilized if/when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C6B3434"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AV-Writ*.dx files has enough data to print the whole bible, including chapter and verse numbers. However, the addition of AV-Chapter.ix and AV-Verse.ix greatly simplify the process.  Additional SDK files are completely optional and serve as lookups for Lematta, person-names, and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34E6DD0D"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these binaries</w:t>
      </w:r>
      <w:r w:rsidR="00DB724D">
        <w:rPr>
          <w:sz w:val="20"/>
          <w:szCs w:val="20"/>
        </w:rPr>
        <w:t>.</w:t>
      </w:r>
      <w:r w:rsidR="00090D33">
        <w:rPr>
          <w:sz w:val="20"/>
          <w:szCs w:val="20"/>
        </w:rPr>
        <w:t xml:space="preserve"> </w:t>
      </w:r>
    </w:p>
    <w:p w14:paraId="2DA7FE46" w14:textId="6916467C"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703735" w:rsidRPr="0070596E">
        <w:rPr>
          <w:i/>
          <w:iCs/>
          <w:sz w:val="20"/>
          <w:szCs w:val="20"/>
        </w:rPr>
        <w:t>SerializedFromSDK.csproj</w:t>
      </w:r>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FlatBuffers  support was considered, but is being abandoned.</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2D418D2B" w14:textId="3DF2A00B" w:rsidR="00E66FD9" w:rsidRDefault="00E66FD9" w:rsidP="00E66FD9">
      <w:r>
        <w:lastRenderedPageBreak/>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 </w:t>
      </w:r>
    </w:p>
    <w:p w14:paraId="46D1715A" w14:textId="1CCDD2B2"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initializations.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77777777" w:rsidR="00511EF4" w:rsidRDefault="00511EF4" w:rsidP="00511EF4">
      <w:r>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36AD64E3" w:rsidR="00A37F65" w:rsidRDefault="00A37F65" w:rsidP="00511EF4">
      <w:r>
        <w:t>Interestingly, using the latest Microsoft x64 C++ compiler to compile the entire SDK into a DLL with static C++ arrays, the entire DLL weighs in at 21.2 mb, slightly smaller than the experimental FlatBuffers data files.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Okay, this is a teaser, but with the existing code-generation platform, this is pretty low-hanging fruit. Sure, it’s not as compact as FlatBuffers, but it will be way easier to use.  Moreover, if compactness is what you’re really after, not even FlatBuffers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r>
        <w:t>FlatBuffers</w:t>
      </w:r>
      <w:r>
        <w:rPr>
          <w:rStyle w:val="FootnoteReference"/>
        </w:rPr>
        <w:footnoteReference w:id="5"/>
      </w:r>
      <w:r>
        <w:t>, the deserialization can be driven using the IDL provided in the FlatBuffers Schema (fbs) IDL files. All binary-content files for deserialization for FlatBuffers have an “.data” extent. Corresponding IDL files have an “.fbs” extent. The layouts are substantially similar to the baseline SDK. Therefore, the baseline SDK documentation can still be consulted. However, the IDL (i.e. *.fbs file) can drive deserialization through the FlatBuffers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w:t>
            </w:r>
            <w:r>
              <w:rPr>
                <w:sz w:val="36"/>
                <w:szCs w:val="36"/>
              </w:rPr>
              <w:t>data</w:t>
            </w:r>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-Index.fbs</w:t>
            </w:r>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-Index.data</w:t>
            </w:r>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-Index.fbs</w:t>
            </w:r>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-Index.data</w:t>
            </w:r>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Verse-Index.fbs</w:t>
            </w:r>
          </w:p>
        </w:tc>
        <w:tc>
          <w:tcPr>
            <w:tcW w:w="3145" w:type="dxa"/>
            <w:vAlign w:val="center"/>
          </w:tcPr>
          <w:p w14:paraId="7272065A" w14:textId="77777777" w:rsidR="006235FD" w:rsidRPr="006B19ED" w:rsidRDefault="006235FD" w:rsidP="00FC15D2">
            <w:pPr>
              <w:jc w:val="both"/>
              <w:rPr>
                <w:sz w:val="36"/>
                <w:szCs w:val="36"/>
              </w:rPr>
            </w:pPr>
            <w:r>
              <w:rPr>
                <w:sz w:val="36"/>
                <w:szCs w:val="36"/>
              </w:rPr>
              <w:t>Verse-Index.data</w:t>
            </w:r>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3145" w:type="dxa"/>
            <w:vAlign w:val="center"/>
          </w:tcPr>
          <w:p w14:paraId="2761236B" w14:textId="77777777" w:rsidR="006235FD" w:rsidRPr="006B19ED" w:rsidRDefault="006235FD" w:rsidP="00FC15D2">
            <w:pPr>
              <w:jc w:val="both"/>
              <w:rPr>
                <w:sz w:val="36"/>
                <w:szCs w:val="36"/>
              </w:rPr>
            </w:pPr>
            <w:r w:rsidRPr="00542D17">
              <w:rPr>
                <w:sz w:val="36"/>
                <w:szCs w:val="36"/>
              </w:rPr>
              <w:t>Lemma</w:t>
            </w:r>
            <w:r>
              <w:rPr>
                <w:sz w:val="36"/>
                <w:szCs w:val="36"/>
              </w:rPr>
              <w:t>ta.data</w:t>
            </w:r>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3145" w:type="dxa"/>
            <w:vAlign w:val="center"/>
          </w:tcPr>
          <w:p w14:paraId="4998C62A" w14:textId="77777777" w:rsidR="006235FD" w:rsidRPr="006B19ED" w:rsidRDefault="006235FD" w:rsidP="00FC15D2">
            <w:pPr>
              <w:jc w:val="both"/>
              <w:rPr>
                <w:sz w:val="36"/>
                <w:szCs w:val="36"/>
              </w:rPr>
            </w:pPr>
            <w:r w:rsidRPr="00542D17">
              <w:rPr>
                <w:sz w:val="36"/>
                <w:szCs w:val="36"/>
              </w:rPr>
              <w:t>Lemma</w:t>
            </w:r>
            <w:r>
              <w:rPr>
                <w:sz w:val="36"/>
                <w:szCs w:val="36"/>
              </w:rPr>
              <w:t>ta-OOV.data</w:t>
            </w:r>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r w:rsidRPr="00142BBA">
              <w:rPr>
                <w:sz w:val="36"/>
                <w:szCs w:val="36"/>
              </w:rPr>
              <w:t>Lexicon</w:t>
            </w:r>
            <w:r w:rsidRPr="00542D17">
              <w:rPr>
                <w:sz w:val="36"/>
                <w:szCs w:val="36"/>
              </w:rPr>
              <w:t>.</w:t>
            </w:r>
            <w:r>
              <w:rPr>
                <w:sz w:val="36"/>
                <w:szCs w:val="36"/>
              </w:rPr>
              <w:t>fbs</w:t>
            </w:r>
          </w:p>
        </w:tc>
        <w:tc>
          <w:tcPr>
            <w:tcW w:w="3145" w:type="dxa"/>
            <w:vAlign w:val="center"/>
          </w:tcPr>
          <w:p w14:paraId="2031FF42" w14:textId="77777777" w:rsidR="006235FD" w:rsidRPr="00542D17" w:rsidRDefault="006235FD" w:rsidP="00FC15D2">
            <w:pPr>
              <w:jc w:val="both"/>
              <w:rPr>
                <w:sz w:val="36"/>
                <w:szCs w:val="36"/>
              </w:rPr>
            </w:pPr>
            <w:r w:rsidRPr="00142BBA">
              <w:rPr>
                <w:sz w:val="36"/>
                <w:szCs w:val="36"/>
              </w:rPr>
              <w:t>Lexicon</w:t>
            </w:r>
            <w:r>
              <w:rPr>
                <w:sz w:val="36"/>
                <w:szCs w:val="36"/>
              </w:rPr>
              <w:t>.data</w:t>
            </w:r>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7BE9BE9E" w14:textId="77777777" w:rsidTr="00FB6B44">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tcBorders>
              <w:bottom w:val="single" w:sz="4" w:space="0" w:color="000000" w:themeColor="text1"/>
            </w:tcBorders>
            <w:vAlign w:val="center"/>
          </w:tcPr>
          <w:p w14:paraId="67CED99B" w14:textId="77777777" w:rsidR="006235FD" w:rsidRDefault="006235FD" w:rsidP="00FC15D2">
            <w:pPr>
              <w:jc w:val="both"/>
              <w:rPr>
                <w:sz w:val="36"/>
                <w:szCs w:val="36"/>
              </w:rPr>
            </w:pPr>
            <w:r>
              <w:rPr>
                <w:sz w:val="36"/>
                <w:szCs w:val="36"/>
              </w:rPr>
              <w:t>Names</w:t>
            </w:r>
            <w:r w:rsidRPr="00542D17">
              <w:rPr>
                <w:sz w:val="36"/>
                <w:szCs w:val="36"/>
              </w:rPr>
              <w:t>.</w:t>
            </w:r>
            <w:r>
              <w:rPr>
                <w:sz w:val="36"/>
                <w:szCs w:val="36"/>
              </w:rPr>
              <w:t>fbs</w:t>
            </w:r>
          </w:p>
        </w:tc>
        <w:tc>
          <w:tcPr>
            <w:tcW w:w="3145" w:type="dxa"/>
            <w:vAlign w:val="center"/>
          </w:tcPr>
          <w:p w14:paraId="057EF37E" w14:textId="77777777" w:rsidR="006235FD" w:rsidRPr="00542D17" w:rsidRDefault="006235FD" w:rsidP="00FC15D2">
            <w:pPr>
              <w:jc w:val="both"/>
              <w:rPr>
                <w:sz w:val="36"/>
                <w:szCs w:val="36"/>
              </w:rPr>
            </w:pPr>
            <w:r>
              <w:rPr>
                <w:sz w:val="36"/>
                <w:szCs w:val="36"/>
              </w:rPr>
              <w:t>Names.data</w:t>
            </w:r>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r w:rsidR="00FB6B44" w14:paraId="14668373" w14:textId="77777777" w:rsidTr="00FB6B44">
        <w:tc>
          <w:tcPr>
            <w:tcW w:w="3685" w:type="dxa"/>
            <w:shd w:val="clear" w:color="auto" w:fill="D9D9D9" w:themeFill="background1" w:themeFillShade="D9"/>
            <w:vAlign w:val="center"/>
          </w:tcPr>
          <w:p w14:paraId="35250B05" w14:textId="6CD489C3" w:rsidR="00FB6B44" w:rsidRPr="00142BBA" w:rsidRDefault="00FB6B44" w:rsidP="00FB6B44">
            <w:pPr>
              <w:jc w:val="both"/>
              <w:rPr>
                <w:sz w:val="36"/>
                <w:szCs w:val="36"/>
              </w:rPr>
            </w:pPr>
            <w:r>
              <w:rPr>
                <w:sz w:val="36"/>
                <w:szCs w:val="36"/>
              </w:rPr>
              <w:t>Total</w:t>
            </w:r>
          </w:p>
        </w:tc>
        <w:tc>
          <w:tcPr>
            <w:tcW w:w="1890" w:type="dxa"/>
            <w:shd w:val="clear" w:color="auto" w:fill="D9D9D9" w:themeFill="background1" w:themeFillShade="D9"/>
            <w:vAlign w:val="center"/>
          </w:tcPr>
          <w:p w14:paraId="692490A3" w14:textId="63B7F0F8" w:rsidR="00FB6B44" w:rsidRDefault="00FB6B44" w:rsidP="00FB6B44">
            <w:pPr>
              <w:jc w:val="center"/>
              <w:rPr>
                <w:rFonts w:ascii="Consolas" w:hAnsi="Consolas"/>
                <w:sz w:val="32"/>
                <w:szCs w:val="32"/>
              </w:rPr>
            </w:pPr>
            <w:r>
              <w:rPr>
                <w:rFonts w:ascii="Consolas" w:hAnsi="Consolas"/>
                <w:sz w:val="32"/>
                <w:szCs w:val="32"/>
              </w:rPr>
              <w:t>18 mb</w:t>
            </w:r>
          </w:p>
        </w:tc>
        <w:tc>
          <w:tcPr>
            <w:tcW w:w="2970" w:type="dxa"/>
            <w:tcBorders>
              <w:top w:val="single" w:sz="4" w:space="0" w:color="000000" w:themeColor="text1"/>
              <w:bottom w:val="nil"/>
            </w:tcBorders>
            <w:vAlign w:val="center"/>
          </w:tcPr>
          <w:p w14:paraId="3ACDA48B" w14:textId="550531BB" w:rsidR="00FB6B44" w:rsidRDefault="00FB6B44" w:rsidP="00FB6B44">
            <w:pPr>
              <w:jc w:val="both"/>
              <w:rPr>
                <w:sz w:val="36"/>
                <w:szCs w:val="36"/>
              </w:rPr>
            </w:pPr>
          </w:p>
        </w:tc>
        <w:tc>
          <w:tcPr>
            <w:tcW w:w="3145" w:type="dxa"/>
            <w:vAlign w:val="center"/>
          </w:tcPr>
          <w:p w14:paraId="7E2E2E7A" w14:textId="30CBF1E9" w:rsidR="00FB6B44" w:rsidRDefault="00FB6B44" w:rsidP="00FB6B44">
            <w:pPr>
              <w:jc w:val="both"/>
              <w:rPr>
                <w:sz w:val="36"/>
                <w:szCs w:val="36"/>
              </w:rPr>
            </w:pPr>
            <w:r>
              <w:rPr>
                <w:sz w:val="36"/>
                <w:szCs w:val="36"/>
              </w:rPr>
              <w:t>Total</w:t>
            </w:r>
          </w:p>
        </w:tc>
        <w:tc>
          <w:tcPr>
            <w:tcW w:w="1870" w:type="dxa"/>
            <w:vAlign w:val="center"/>
          </w:tcPr>
          <w:p w14:paraId="4CB9F12F" w14:textId="2C6BA025" w:rsidR="00FB6B44" w:rsidRDefault="00A37F65" w:rsidP="00FB6B44">
            <w:pPr>
              <w:jc w:val="center"/>
              <w:rPr>
                <w:rFonts w:ascii="Consolas" w:hAnsi="Consolas"/>
                <w:sz w:val="32"/>
                <w:szCs w:val="32"/>
              </w:rPr>
            </w:pPr>
            <w:r>
              <w:rPr>
                <w:rFonts w:ascii="Consolas" w:hAnsi="Consolas"/>
                <w:sz w:val="32"/>
                <w:szCs w:val="32"/>
              </w:rPr>
              <w:t>21.5</w:t>
            </w:r>
            <w:r w:rsidR="00FB6B44">
              <w:rPr>
                <w:rFonts w:ascii="Consolas" w:hAnsi="Consolas"/>
                <w:sz w:val="32"/>
                <w:szCs w:val="32"/>
              </w:rPr>
              <w:t xml:space="preserve"> mb</w:t>
            </w:r>
          </w:p>
        </w:tc>
      </w:tr>
    </w:tbl>
    <w:p w14:paraId="0735E998" w14:textId="77777777" w:rsidR="006235FD" w:rsidRDefault="006235FD" w:rsidP="00FB6B44">
      <w:pPr>
        <w:spacing w:before="120"/>
      </w:pPr>
      <w:r>
        <w:t>The FlatBuffers-special files identified above can be found in the FB sub-folder of the Z-Series SDK</w:t>
      </w:r>
      <w:r>
        <w:rPr>
          <w:rStyle w:val="FootnoteReference"/>
        </w:rPr>
        <w:footnoteReference w:id="6"/>
      </w:r>
      <w:r>
        <w:t>.   These files have been written using FlatSharp</w:t>
      </w:r>
      <w:r>
        <w:rPr>
          <w:rStyle w:val="FootnoteReference"/>
        </w:rPr>
        <w:footnoteReference w:id="7"/>
      </w:r>
      <w:r>
        <w:t>. As of the date of this documentation, all FlatBuffer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F21F6" w14:textId="77777777" w:rsidR="00856767" w:rsidRDefault="00856767" w:rsidP="00DC16A1">
      <w:pPr>
        <w:spacing w:after="0" w:line="240" w:lineRule="auto"/>
      </w:pPr>
      <w:r>
        <w:separator/>
      </w:r>
    </w:p>
  </w:endnote>
  <w:endnote w:type="continuationSeparator" w:id="0">
    <w:p w14:paraId="0AC361F5" w14:textId="77777777" w:rsidR="00856767" w:rsidRDefault="00856767"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r w:rsidR="009C3AA6">
          <w:t xml:space="preserve">ProtoBuf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77B05" w14:textId="77777777" w:rsidR="00856767" w:rsidRDefault="00856767" w:rsidP="00DC16A1">
      <w:pPr>
        <w:spacing w:after="0" w:line="240" w:lineRule="auto"/>
      </w:pPr>
      <w:r>
        <w:separator/>
      </w:r>
    </w:p>
  </w:footnote>
  <w:footnote w:type="continuationSeparator" w:id="0">
    <w:p w14:paraId="44ECE875" w14:textId="77777777" w:rsidR="00856767" w:rsidRDefault="00856767"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1F481AB8"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522F0">
            <w:rPr>
              <w:rFonts w:cstheme="minorHAnsi"/>
              <w:sz w:val="20"/>
              <w:szCs w:val="20"/>
              <w:vertAlign w:val="subscript"/>
            </w:rPr>
            <w:t>j</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4FD12168"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7777777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5D7741E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76B7D36" w:rsidR="006235FD" w:rsidRPr="00221BF9" w:rsidRDefault="00C647C4"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TBD</w:t>
          </w:r>
          <w:r w:rsidR="001147A5">
            <w:rPr>
              <w:rFonts w:cstheme="minorHAnsi"/>
              <w:sz w:val="20"/>
              <w:szCs w:val="20"/>
              <w:vertAlign w:val="subscript"/>
            </w:rPr>
            <w:t>0</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54D4966D"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1BAD"/>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4280"/>
    <w:rsid w:val="003454C2"/>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2833"/>
    <w:rsid w:val="004F4BAD"/>
    <w:rsid w:val="005009A2"/>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3A53"/>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6767"/>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5CC"/>
    <w:rsid w:val="00A90E63"/>
    <w:rsid w:val="00A94876"/>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B6B44"/>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49810</TotalTime>
  <Pages>18</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172</cp:revision>
  <cp:lastPrinted>2023-01-14T05:57:00Z</cp:lastPrinted>
  <dcterms:created xsi:type="dcterms:W3CDTF">2020-07-19T03:21:00Z</dcterms:created>
  <dcterms:modified xsi:type="dcterms:W3CDTF">2023-01-20T03:49:00Z</dcterms:modified>
</cp:coreProperties>
</file>