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BCSE497J - Project-I</w:t>
      </w:r>
    </w:p>
    <w:p>
      <w:pPr>
        <w:spacing w:line="360" w:lineRule="auto" w:after="480"/>
        <w:jc w:val="center"/>
      </w:pPr>
      <w:r>
        <w:rPr>
          <w:rFonts w:ascii="Times New Roman" w:hAnsi="Times New Roman"/>
          <w:b/>
          <w:sz w:val="32"/>
        </w:rPr>
        <w:t>AP3: ADAPTIVE PRIVACY-PRESERVING PROXY — A RISK-ADAPTIVE DIFFERENTIAL-PRIVACY MIDDLEWARE PROXY FOR RELATIONAL DATABASES</w:t>
      </w:r>
    </w:p>
    <w:p>
      <w:pPr>
        <w:spacing w:after="240"/>
        <w:jc w:val="center"/>
      </w:pPr>
      <w:r>
        <w:rPr>
          <w:rFonts w:ascii="Times New Roman" w:hAnsi="Times New Roman"/>
          <w:i/>
          <w:sz w:val="24"/>
        </w:rPr>
        <w:t>A Project Report Submitted by</w:t>
      </w:r>
    </w:p>
    <w:tbl>
      <w:tblPr>
        <w:tblW w:type="auto" w:w="0"/>
        <w:jc w:val="center"/>
        <w:tblLayout w:type="fixed"/>
        <w:tblLook w:firstColumn="1" w:firstRow="1" w:lastColumn="0" w:lastRow="0" w:noHBand="0" w:noVBand="1" w:val="04A0"/>
      </w:tblPr>
      <w:tblGrid>
        <w:gridCol w:w="4680"/>
        <w:gridCol w:w="4680"/>
      </w:tblGrid>
      <w:tr>
        <w:tc>
          <w:tcPr>
            <w:tcW w:type="dxa" w:w="3168"/>
          </w:tcPr>
          <w:p>
            <w:pPr>
              <w:jc w:val="right"/>
            </w:pPr>
            <w:r>
              <w:rPr>
                <w:rFonts w:ascii="Times New Roman" w:hAnsi="Times New Roman"/>
                <w:b/>
                <w:sz w:val="24"/>
              </w:rPr>
              <w:t>23BCI0111</w:t>
            </w:r>
          </w:p>
        </w:tc>
        <w:tc>
          <w:tcPr>
            <w:tcW w:type="dxa" w:w="4608"/>
          </w:tcPr>
          <w:p>
            <w:pPr>
              <w:jc w:val="left"/>
            </w:pPr>
            <w:r>
              <w:rPr>
                <w:rFonts w:ascii="Times New Roman" w:hAnsi="Times New Roman"/>
                <w:b/>
                <w:sz w:val="24"/>
              </w:rPr>
              <w:t xml:space="preserve">    AADHAAR VERMA</w:t>
            </w:r>
          </w:p>
        </w:tc>
      </w:tr>
      <w:tr>
        <w:tc>
          <w:tcPr>
            <w:tcW w:type="dxa" w:w="3168"/>
          </w:tcPr>
          <w:p>
            <w:pPr>
              <w:jc w:val="right"/>
            </w:pPr>
            <w:r>
              <w:rPr>
                <w:rFonts w:ascii="Times New Roman" w:hAnsi="Times New Roman"/>
                <w:b/>
                <w:sz w:val="24"/>
              </w:rPr>
              <w:t>23BCT0059</w:t>
            </w:r>
          </w:p>
        </w:tc>
        <w:tc>
          <w:tcPr>
            <w:tcW w:type="dxa" w:w="4608"/>
          </w:tcPr>
          <w:p>
            <w:pPr>
              <w:jc w:val="left"/>
            </w:pPr>
            <w:r>
              <w:rPr>
                <w:rFonts w:ascii="Times New Roman" w:hAnsi="Times New Roman"/>
                <w:b/>
                <w:sz w:val="24"/>
              </w:rPr>
              <w:t xml:space="preserve">    AYAN GATTANI</w:t>
            </w:r>
          </w:p>
        </w:tc>
      </w:tr>
      <w:tr>
        <w:tc>
          <w:tcPr>
            <w:tcW w:type="dxa" w:w="3168"/>
          </w:tcPr>
          <w:p>
            <w:pPr>
              <w:jc w:val="right"/>
            </w:pPr>
            <w:r>
              <w:rPr>
                <w:rFonts w:ascii="Times New Roman" w:hAnsi="Times New Roman"/>
                <w:b/>
                <w:sz w:val="24"/>
              </w:rPr>
              <w:t>23BCT0118</w:t>
            </w:r>
          </w:p>
        </w:tc>
        <w:tc>
          <w:tcPr>
            <w:tcW w:type="dxa" w:w="4608"/>
          </w:tcPr>
          <w:p>
            <w:pPr>
              <w:jc w:val="left"/>
            </w:pPr>
            <w:r>
              <w:rPr>
                <w:rFonts w:ascii="Times New Roman" w:hAnsi="Times New Roman"/>
                <w:b/>
                <w:sz w:val="24"/>
              </w:rPr>
              <w:t xml:space="preserve">    LAKSHAY TUTEJA</w:t>
            </w:r>
          </w:p>
        </w:tc>
      </w:tr>
    </w:tbl>
    <w:p>
      <w:pPr>
        <w:spacing w:after="360"/>
      </w:pPr>
    </w:p>
    <w:p>
      <w:pPr>
        <w:spacing w:after="120"/>
        <w:jc w:val="center"/>
      </w:pPr>
      <w:r>
        <w:rPr>
          <w:rFonts w:ascii="Times New Roman" w:hAnsi="Times New Roman"/>
          <w:i/>
          <w:sz w:val="24"/>
        </w:rPr>
        <w:t>Under the Supervision of</w:t>
      </w:r>
    </w:p>
    <w:p>
      <w:pPr>
        <w:spacing w:after="400"/>
        <w:jc w:val="center"/>
      </w:pPr>
      <w:r>
        <w:rPr>
          <w:rFonts w:ascii="Times New Roman" w:hAnsi="Times New Roman"/>
          <w:b/>
          <w:sz w:val="26"/>
        </w:rPr>
        <w:t>Dr. SOMASUNDARAM S K</w:t>
        <w:br/>
        <w:t>Associate Professor</w:t>
        <w:br/>
        <w:t>School of Computer Science and Engineering (SCOPE)</w:t>
      </w:r>
    </w:p>
    <w:p>
      <w:pPr>
        <w:spacing w:after="320"/>
        <w:jc w:val="center"/>
      </w:pPr>
      <w:r>
        <w:drawing>
          <wp:inline xmlns:a="http://schemas.openxmlformats.org/drawingml/2006/main" xmlns:pic="http://schemas.openxmlformats.org/drawingml/2006/picture">
            <wp:extent cx="2194560" cy="1771048"/>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2194560" cy="1771048"/>
                    </a:xfrm>
                    <a:prstGeom prst="rect"/>
                  </pic:spPr>
                </pic:pic>
              </a:graphicData>
            </a:graphic>
          </wp:inline>
        </w:drawing>
      </w:r>
    </w:p>
    <w:p>
      <w:pPr>
        <w:spacing w:line="312" w:lineRule="auto"/>
        <w:jc w:val="center"/>
      </w:pPr>
      <w:r>
        <w:rPr>
          <w:rFonts w:ascii="Times New Roman" w:hAnsi="Times New Roman"/>
          <w:b/>
          <w:sz w:val="24"/>
        </w:rPr>
        <w:t>B.Tech. in Computer Science and Engineering</w:t>
        <w:br/>
        <w:t>School of Computer Science and Engineering</w:t>
        <w:br/>
        <w:t>VELLORE INSTITUTE OF TECHNOLOGY</w:t>
        <w:br/>
        <w:t>Vellore - 632014, Tamil Nadu, India</w:t>
        <w:br/>
        <w:t>September 2026</w:t>
      </w:r>
    </w:p>
    <w:p>
      <w:r>
        <w:br w:type="page"/>
      </w:r>
    </w:p>
    <w:p>
      <w:pPr>
        <w:spacing w:after="360"/>
        <w:jc w:val="center"/>
      </w:pPr>
      <w:r>
        <w:rPr>
          <w:rFonts w:ascii="Times New Roman" w:hAnsi="Times New Roman"/>
          <w:b/>
          <w:sz w:val="28"/>
        </w:rPr>
        <w:t>ABSTRACT</w:t>
      </w:r>
    </w:p>
    <w:p>
      <w:pPr>
        <w:spacing w:line="276" w:lineRule="auto" w:after="160"/>
        <w:jc w:val="both"/>
      </w:pPr>
      <w:r>
        <w:rPr>
          <w:rFonts w:ascii="Times New Roman" w:hAnsi="Times New Roman"/>
          <w:color w:val="000000"/>
          <w:sz w:val="24"/>
        </w:rPr>
        <w:t>In modern data analytics architectures, organizations increasingly rely on sharing aggregate database insights while safeguarding sensitive individual records against inference and triangulation attacks. Conventional defense paradigms operate in isolated silos: Attribute-Based Access Control (ABAC) restricts user actions through coarse static permissions, while standard Differential Privacy (DP) implementations enforce static per-query epsilon budgets and rely on abrupt query denial when thresholds are breached. In statistical databases, hard query denial inadvertently acts as an information oracle, leaking the presence of targeted individuals through denial-based side channels.</w:t>
      </w:r>
    </w:p>
    <w:p>
      <w:pPr>
        <w:spacing w:line="276" w:lineRule="auto" w:after="160"/>
        <w:jc w:val="both"/>
      </w:pPr>
      <w:r>
        <w:rPr>
          <w:rFonts w:ascii="Times New Roman" w:hAnsi="Times New Roman"/>
          <w:color w:val="000000"/>
          <w:sz w:val="24"/>
        </w:rPr>
        <w:t>This project presents AP3 (Adaptive Privacy-Preserving Proxy), a high-performance middleware proxy that establishes a risk-adaptive control loop directly coupling live triangulation risk to query-time differential privacy noise calibration. AP3 incorporates five tightly integrated security layers: (1) Abstract Syntax Tree (AST) tokenization and subpopulation predicate extraction via sqlparse; (2) continuous triangulation risk tracking yielding a bounded mathematical signal r(u, q) in [0, 1) based on predicate Jaccard similarity and exponential temporal decay; (3) dynamic risk-to-epsilon coupling via the formulation ε_eff(u, q) = max(ε_min, ε_role · (1 - r(u, q))^γ); (4) a non-leaking graceful degradation schedule that replaces hard query rejection with monotonically increasing calibrated Laplace noise; and (5) sequential privacy loss composition accounting backed by SQLite query history auditing.</w:t>
      </w:r>
    </w:p>
    <w:p>
      <w:pPr>
        <w:spacing w:line="276" w:lineRule="auto" w:after="240"/>
        <w:jc w:val="both"/>
      </w:pPr>
      <w:r>
        <w:rPr>
          <w:rFonts w:ascii="Times New Roman" w:hAnsi="Times New Roman"/>
          <w:color w:val="000000"/>
          <w:sz w:val="24"/>
        </w:rPr>
        <w:t>AP3 is fully realized as a production-grade FastAPI middleware proxy over PostgreSQL, accompanied by an interactive browser-based telemetry playground and a guided OpenAPI explorer. Empirical benchmarking demonstrates complete suppression of adversarial reconstruction attacks, mathematical consistency with theoretical Laplace noise bounds, and ultra-low middleware processing latency of ~2.59 ms per query (well under the 15 ms real-time operational threshold).</w:t>
      </w:r>
    </w:p>
    <w:p>
      <w:pPr>
        <w:jc w:val="both"/>
      </w:pPr>
      <w:r>
        <w:rPr>
          <w:rFonts w:ascii="Times New Roman" w:hAnsi="Times New Roman"/>
          <w:b/>
          <w:sz w:val="24"/>
        </w:rPr>
        <w:t xml:space="preserve">Keywords — </w:t>
      </w:r>
      <w:r>
        <w:rPr>
          <w:rFonts w:ascii="Times New Roman" w:hAnsi="Times New Roman"/>
          <w:sz w:val="24"/>
        </w:rPr>
        <w:t>Differential Privacy, Data Triangulation, Inference Attack Prevention, SQL Middleware Proxy, Attribute-Based Access Control, Graceful Degradation, Query Auditing Side Channels, Privacy Composition.</w:t>
      </w:r>
    </w:p>
    <w:p>
      <w:r>
        <w:br w:type="page"/>
      </w:r>
    </w:p>
    <w:p>
      <w:pPr>
        <w:spacing w:after="360"/>
        <w:jc w:val="center"/>
      </w:pPr>
      <w:r>
        <w:rPr>
          <w:rFonts w:ascii="Times New Roman" w:hAnsi="Times New Roman"/>
          <w:b/>
          <w:sz w:val="28"/>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152"/>
            <w:shd w:val="clear" w:color="auto" w:fill="0F2B5C"/>
          </w:tcPr>
          <w:p>
            <w:r>
              <w:rPr>
                <w:rFonts w:ascii="Times New Roman" w:hAnsi="Times New Roman"/>
                <w:b/>
                <w:color w:val="FFFFFF"/>
                <w:sz w:val="22"/>
              </w:rPr>
              <w:t>Sl. No.</w:t>
            </w:r>
          </w:p>
        </w:tc>
        <w:tc>
          <w:tcPr>
            <w:tcW w:type="dxa" w:w="6768"/>
            <w:shd w:val="clear" w:color="auto" w:fill="0F2B5C"/>
          </w:tcPr>
          <w:p>
            <w:r>
              <w:rPr>
                <w:rFonts w:ascii="Times New Roman" w:hAnsi="Times New Roman"/>
                <w:b/>
                <w:color w:val="FFFFFF"/>
                <w:sz w:val="22"/>
              </w:rPr>
              <w:t>Contents</w:t>
            </w:r>
          </w:p>
        </w:tc>
        <w:tc>
          <w:tcPr>
            <w:tcW w:type="dxa" w:w="1152"/>
            <w:shd w:val="clear" w:color="auto" w:fill="0F2B5C"/>
          </w:tcPr>
          <w:p>
            <w:r>
              <w:rPr>
                <w:rFonts w:ascii="Times New Roman" w:hAnsi="Times New Roman"/>
                <w:b/>
                <w:color w:val="FFFFFF"/>
                <w:sz w:val="22"/>
              </w:rPr>
              <w:t>Page</w:t>
            </w:r>
          </w:p>
        </w:tc>
      </w:tr>
      <w:tr>
        <w:tc>
          <w:tcPr>
            <w:tcW w:type="dxa" w:w="1152"/>
            <w:shd w:val="clear" w:color="auto" w:fill="F1F5F9"/>
          </w:tcPr>
          <w:p>
            <w:r>
              <w:rPr>
                <w:rFonts w:ascii="Times New Roman" w:hAnsi="Times New Roman"/>
                <w:b/>
                <w:sz w:val="21"/>
              </w:rPr>
              <w:t>1</w:t>
            </w:r>
          </w:p>
        </w:tc>
        <w:tc>
          <w:tcPr>
            <w:tcW w:type="dxa" w:w="6768"/>
            <w:shd w:val="clear" w:color="auto" w:fill="F1F5F9"/>
          </w:tcPr>
          <w:p>
            <w:r>
              <w:rPr>
                <w:rFonts w:ascii="Times New Roman" w:hAnsi="Times New Roman"/>
                <w:b/>
                <w:sz w:val="21"/>
              </w:rPr>
              <w:t>Abstract</w:t>
            </w:r>
          </w:p>
        </w:tc>
        <w:tc>
          <w:tcPr>
            <w:tcW w:type="dxa" w:w="1152"/>
            <w:shd w:val="clear" w:color="auto" w:fill="F1F5F9"/>
          </w:tcPr>
          <w:p>
            <w:pPr>
              <w:jc w:val="right"/>
            </w:pPr>
            <w:r>
              <w:rPr>
                <w:rFonts w:ascii="Times New Roman" w:hAnsi="Times New Roman"/>
                <w:b/>
                <w:sz w:val="21"/>
              </w:rPr>
              <w:t>i</w:t>
            </w:r>
          </w:p>
        </w:tc>
      </w:tr>
      <w:tr>
        <w:tc>
          <w:tcPr>
            <w:tcW w:type="dxa" w:w="1152"/>
            <w:shd w:val="clear" w:color="auto" w:fill="F1F5F9"/>
          </w:tcPr>
          <w:p>
            <w:r>
              <w:rPr>
                <w:rFonts w:ascii="Times New Roman" w:hAnsi="Times New Roman"/>
                <w:b/>
                <w:sz w:val="21"/>
              </w:rPr>
              <w:t>2</w:t>
            </w:r>
          </w:p>
        </w:tc>
        <w:tc>
          <w:tcPr>
            <w:tcW w:type="dxa" w:w="6768"/>
            <w:shd w:val="clear" w:color="auto" w:fill="F1F5F9"/>
          </w:tcPr>
          <w:p>
            <w:r>
              <w:rPr>
                <w:rFonts w:ascii="Times New Roman" w:hAnsi="Times New Roman"/>
                <w:b/>
                <w:sz w:val="21"/>
              </w:rPr>
              <w:t>1. INTRODUCTION</w:t>
            </w:r>
          </w:p>
        </w:tc>
        <w:tc>
          <w:tcPr>
            <w:tcW w:type="dxa" w:w="1152"/>
            <w:shd w:val="clear" w:color="auto" w:fill="F1F5F9"/>
          </w:tcPr>
          <w:p>
            <w:pPr>
              <w:jc w:val="right"/>
            </w:pPr>
            <w:r>
              <w:rPr>
                <w:rFonts w:ascii="Times New Roman" w:hAnsi="Times New Roman"/>
                <w:b/>
                <w:sz w:val="21"/>
              </w:rPr>
              <w:t>1</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1.1 Background</w:t>
            </w:r>
          </w:p>
        </w:tc>
        <w:tc>
          <w:tcPr>
            <w:tcW w:type="dxa" w:w="1152"/>
            <w:shd w:val="clear" w:color="auto" w:fill="FFFFFF"/>
          </w:tcPr>
          <w:p>
            <w:pPr>
              <w:jc w:val="right"/>
            </w:pPr>
            <w:r>
              <w:rPr>
                <w:rFonts w:ascii="Times New Roman" w:hAnsi="Times New Roman"/>
                <w:b w:val="0"/>
                <w:sz w:val="21"/>
              </w:rPr>
              <w:t>1</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1.2 Motivation</w:t>
            </w:r>
          </w:p>
        </w:tc>
        <w:tc>
          <w:tcPr>
            <w:tcW w:type="dxa" w:w="1152"/>
            <w:shd w:val="clear" w:color="auto" w:fill="FFFFFF"/>
          </w:tcPr>
          <w:p>
            <w:pPr>
              <w:jc w:val="right"/>
            </w:pPr>
            <w:r>
              <w:rPr>
                <w:rFonts w:ascii="Times New Roman" w:hAnsi="Times New Roman"/>
                <w:b w:val="0"/>
                <w:sz w:val="21"/>
              </w:rPr>
              <w:t>2</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1.3 Scope of the Project</w:t>
            </w:r>
          </w:p>
        </w:tc>
        <w:tc>
          <w:tcPr>
            <w:tcW w:type="dxa" w:w="1152"/>
            <w:shd w:val="clear" w:color="auto" w:fill="FFFFFF"/>
          </w:tcPr>
          <w:p>
            <w:pPr>
              <w:jc w:val="right"/>
            </w:pPr>
            <w:r>
              <w:rPr>
                <w:rFonts w:ascii="Times New Roman" w:hAnsi="Times New Roman"/>
                <w:b w:val="0"/>
                <w:sz w:val="21"/>
              </w:rPr>
              <w:t>3</w:t>
            </w:r>
          </w:p>
        </w:tc>
      </w:tr>
      <w:tr>
        <w:tc>
          <w:tcPr>
            <w:tcW w:type="dxa" w:w="1152"/>
            <w:shd w:val="clear" w:color="auto" w:fill="F1F5F9"/>
          </w:tcPr>
          <w:p>
            <w:r>
              <w:rPr>
                <w:rFonts w:ascii="Times New Roman" w:hAnsi="Times New Roman"/>
                <w:b/>
                <w:sz w:val="21"/>
              </w:rPr>
              <w:t>6</w:t>
            </w:r>
          </w:p>
        </w:tc>
        <w:tc>
          <w:tcPr>
            <w:tcW w:type="dxa" w:w="6768"/>
            <w:shd w:val="clear" w:color="auto" w:fill="F1F5F9"/>
          </w:tcPr>
          <w:p>
            <w:r>
              <w:rPr>
                <w:rFonts w:ascii="Times New Roman" w:hAnsi="Times New Roman"/>
                <w:b/>
                <w:sz w:val="21"/>
              </w:rPr>
              <w:t>2. PROJECT DESCRIPTION AND GOALS</w:t>
            </w:r>
          </w:p>
        </w:tc>
        <w:tc>
          <w:tcPr>
            <w:tcW w:type="dxa" w:w="1152"/>
            <w:shd w:val="clear" w:color="auto" w:fill="F1F5F9"/>
          </w:tcPr>
          <w:p>
            <w:pPr>
              <w:jc w:val="right"/>
            </w:pPr>
            <w:r>
              <w:rPr>
                <w:rFonts w:ascii="Times New Roman" w:hAnsi="Times New Roman"/>
                <w:b/>
                <w:sz w:val="21"/>
              </w:rPr>
              <w:t>4</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2.1 Literature Review</w:t>
            </w:r>
          </w:p>
        </w:tc>
        <w:tc>
          <w:tcPr>
            <w:tcW w:type="dxa" w:w="1152"/>
            <w:shd w:val="clear" w:color="auto" w:fill="FFFFFF"/>
          </w:tcPr>
          <w:p>
            <w:pPr>
              <w:jc w:val="right"/>
            </w:pPr>
            <w:r>
              <w:rPr>
                <w:rFonts w:ascii="Times New Roman" w:hAnsi="Times New Roman"/>
                <w:b w:val="0"/>
                <w:sz w:val="21"/>
              </w:rPr>
              <w:t>4</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2.2 Research Gap</w:t>
            </w:r>
          </w:p>
        </w:tc>
        <w:tc>
          <w:tcPr>
            <w:tcW w:type="dxa" w:w="1152"/>
            <w:shd w:val="clear" w:color="auto" w:fill="FFFFFF"/>
          </w:tcPr>
          <w:p>
            <w:pPr>
              <w:jc w:val="right"/>
            </w:pPr>
            <w:r>
              <w:rPr>
                <w:rFonts w:ascii="Times New Roman" w:hAnsi="Times New Roman"/>
                <w:b w:val="0"/>
                <w:sz w:val="21"/>
              </w:rPr>
              <w:t>7</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2.3 Objectives</w:t>
            </w:r>
          </w:p>
        </w:tc>
        <w:tc>
          <w:tcPr>
            <w:tcW w:type="dxa" w:w="1152"/>
            <w:shd w:val="clear" w:color="auto" w:fill="FFFFFF"/>
          </w:tcPr>
          <w:p>
            <w:pPr>
              <w:jc w:val="right"/>
            </w:pPr>
            <w:r>
              <w:rPr>
                <w:rFonts w:ascii="Times New Roman" w:hAnsi="Times New Roman"/>
                <w:b w:val="0"/>
                <w:sz w:val="21"/>
              </w:rPr>
              <w:t>8</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2.4 Problem Statement</w:t>
            </w:r>
          </w:p>
        </w:tc>
        <w:tc>
          <w:tcPr>
            <w:tcW w:type="dxa" w:w="1152"/>
            <w:shd w:val="clear" w:color="auto" w:fill="FFFFFF"/>
          </w:tcPr>
          <w:p>
            <w:pPr>
              <w:jc w:val="right"/>
            </w:pPr>
            <w:r>
              <w:rPr>
                <w:rFonts w:ascii="Times New Roman" w:hAnsi="Times New Roman"/>
                <w:b w:val="0"/>
                <w:sz w:val="21"/>
              </w:rPr>
              <w:t>9</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2.5 Project Plan &amp; Milestones</w:t>
            </w:r>
          </w:p>
        </w:tc>
        <w:tc>
          <w:tcPr>
            <w:tcW w:type="dxa" w:w="1152"/>
            <w:shd w:val="clear" w:color="auto" w:fill="FFFFFF"/>
          </w:tcPr>
          <w:p>
            <w:pPr>
              <w:jc w:val="right"/>
            </w:pPr>
            <w:r>
              <w:rPr>
                <w:rFonts w:ascii="Times New Roman" w:hAnsi="Times New Roman"/>
                <w:b w:val="0"/>
                <w:sz w:val="21"/>
              </w:rPr>
              <w:t>10</w:t>
            </w:r>
          </w:p>
        </w:tc>
      </w:tr>
      <w:tr>
        <w:tc>
          <w:tcPr>
            <w:tcW w:type="dxa" w:w="1152"/>
            <w:shd w:val="clear" w:color="auto" w:fill="F1F5F9"/>
          </w:tcPr>
          <w:p>
            <w:r>
              <w:rPr>
                <w:rFonts w:ascii="Times New Roman" w:hAnsi="Times New Roman"/>
                <w:b/>
                <w:sz w:val="21"/>
              </w:rPr>
              <w:t>12</w:t>
            </w:r>
          </w:p>
        </w:tc>
        <w:tc>
          <w:tcPr>
            <w:tcW w:type="dxa" w:w="6768"/>
            <w:shd w:val="clear" w:color="auto" w:fill="F1F5F9"/>
          </w:tcPr>
          <w:p>
            <w:r>
              <w:rPr>
                <w:rFonts w:ascii="Times New Roman" w:hAnsi="Times New Roman"/>
                <w:b/>
                <w:sz w:val="21"/>
              </w:rPr>
              <w:t>3. TECHNICAL SPECIFICATION</w:t>
            </w:r>
          </w:p>
        </w:tc>
        <w:tc>
          <w:tcPr>
            <w:tcW w:type="dxa" w:w="1152"/>
            <w:shd w:val="clear" w:color="auto" w:fill="F1F5F9"/>
          </w:tcPr>
          <w:p>
            <w:pPr>
              <w:jc w:val="right"/>
            </w:pPr>
            <w:r>
              <w:rPr>
                <w:rFonts w:ascii="Times New Roman" w:hAnsi="Times New Roman"/>
                <w:b/>
                <w:sz w:val="21"/>
              </w:rPr>
              <w:t>11</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3.1 Requirements</w:t>
            </w:r>
          </w:p>
        </w:tc>
        <w:tc>
          <w:tcPr>
            <w:tcW w:type="dxa" w:w="1152"/>
            <w:shd w:val="clear" w:color="auto" w:fill="FFFFFF"/>
          </w:tcPr>
          <w:p>
            <w:pPr>
              <w:jc w:val="right"/>
            </w:pPr>
            <w:r>
              <w:rPr>
                <w:rFonts w:ascii="Times New Roman" w:hAnsi="Times New Roman"/>
                <w:b w:val="0"/>
                <w:sz w:val="21"/>
              </w:rPr>
              <w:t>11</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3.1.1 Functional Requirements</w:t>
            </w:r>
          </w:p>
        </w:tc>
        <w:tc>
          <w:tcPr>
            <w:tcW w:type="dxa" w:w="1152"/>
            <w:shd w:val="clear" w:color="auto" w:fill="FFFFFF"/>
          </w:tcPr>
          <w:p>
            <w:pPr>
              <w:jc w:val="right"/>
            </w:pPr>
            <w:r>
              <w:rPr>
                <w:rFonts w:ascii="Times New Roman" w:hAnsi="Times New Roman"/>
                <w:b w:val="0"/>
                <w:sz w:val="21"/>
              </w:rPr>
              <w:t>11</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3.1.2 Non-Functional Requirements</w:t>
            </w:r>
          </w:p>
        </w:tc>
        <w:tc>
          <w:tcPr>
            <w:tcW w:type="dxa" w:w="1152"/>
            <w:shd w:val="clear" w:color="auto" w:fill="FFFFFF"/>
          </w:tcPr>
          <w:p>
            <w:pPr>
              <w:jc w:val="right"/>
            </w:pPr>
            <w:r>
              <w:rPr>
                <w:rFonts w:ascii="Times New Roman" w:hAnsi="Times New Roman"/>
                <w:b w:val="0"/>
                <w:sz w:val="21"/>
              </w:rPr>
              <w:t>13</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3.2 Feasibility Study</w:t>
            </w:r>
          </w:p>
        </w:tc>
        <w:tc>
          <w:tcPr>
            <w:tcW w:type="dxa" w:w="1152"/>
            <w:shd w:val="clear" w:color="auto" w:fill="FFFFFF"/>
          </w:tcPr>
          <w:p>
            <w:pPr>
              <w:jc w:val="right"/>
            </w:pPr>
            <w:r>
              <w:rPr>
                <w:rFonts w:ascii="Times New Roman" w:hAnsi="Times New Roman"/>
                <w:b w:val="0"/>
                <w:sz w:val="21"/>
              </w:rPr>
              <w:t>14</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3.2.1 Technical Feasibility</w:t>
            </w:r>
          </w:p>
        </w:tc>
        <w:tc>
          <w:tcPr>
            <w:tcW w:type="dxa" w:w="1152"/>
            <w:shd w:val="clear" w:color="auto" w:fill="FFFFFF"/>
          </w:tcPr>
          <w:p>
            <w:pPr>
              <w:jc w:val="right"/>
            </w:pPr>
            <w:r>
              <w:rPr>
                <w:rFonts w:ascii="Times New Roman" w:hAnsi="Times New Roman"/>
                <w:b w:val="0"/>
                <w:sz w:val="21"/>
              </w:rPr>
              <w:t>14</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3.2.2 Economic Feasibility</w:t>
            </w:r>
          </w:p>
        </w:tc>
        <w:tc>
          <w:tcPr>
            <w:tcW w:type="dxa" w:w="1152"/>
            <w:shd w:val="clear" w:color="auto" w:fill="FFFFFF"/>
          </w:tcPr>
          <w:p>
            <w:pPr>
              <w:jc w:val="right"/>
            </w:pPr>
            <w:r>
              <w:rPr>
                <w:rFonts w:ascii="Times New Roman" w:hAnsi="Times New Roman"/>
                <w:b w:val="0"/>
                <w:sz w:val="21"/>
              </w:rPr>
              <w:t>15</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3.2.3 Social Feasibility</w:t>
            </w:r>
          </w:p>
        </w:tc>
        <w:tc>
          <w:tcPr>
            <w:tcW w:type="dxa" w:w="1152"/>
            <w:shd w:val="clear" w:color="auto" w:fill="FFFFFF"/>
          </w:tcPr>
          <w:p>
            <w:pPr>
              <w:jc w:val="right"/>
            </w:pPr>
            <w:r>
              <w:rPr>
                <w:rFonts w:ascii="Times New Roman" w:hAnsi="Times New Roman"/>
                <w:b w:val="0"/>
                <w:sz w:val="21"/>
              </w:rPr>
              <w:t>15</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3.3 System Specification</w:t>
            </w:r>
          </w:p>
        </w:tc>
        <w:tc>
          <w:tcPr>
            <w:tcW w:type="dxa" w:w="1152"/>
            <w:shd w:val="clear" w:color="auto" w:fill="FFFFFF"/>
          </w:tcPr>
          <w:p>
            <w:pPr>
              <w:jc w:val="right"/>
            </w:pPr>
            <w:r>
              <w:rPr>
                <w:rFonts w:ascii="Times New Roman" w:hAnsi="Times New Roman"/>
                <w:b w:val="0"/>
                <w:sz w:val="21"/>
              </w:rPr>
              <w:t>16</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3.3.1 Hardware Specification</w:t>
            </w:r>
          </w:p>
        </w:tc>
        <w:tc>
          <w:tcPr>
            <w:tcW w:type="dxa" w:w="1152"/>
            <w:shd w:val="clear" w:color="auto" w:fill="FFFFFF"/>
          </w:tcPr>
          <w:p>
            <w:pPr>
              <w:jc w:val="right"/>
            </w:pPr>
            <w:r>
              <w:rPr>
                <w:rFonts w:ascii="Times New Roman" w:hAnsi="Times New Roman"/>
                <w:b w:val="0"/>
                <w:sz w:val="21"/>
              </w:rPr>
              <w:t>16</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3.3.2 Software Specification</w:t>
            </w:r>
          </w:p>
        </w:tc>
        <w:tc>
          <w:tcPr>
            <w:tcW w:type="dxa" w:w="1152"/>
            <w:shd w:val="clear" w:color="auto" w:fill="FFFFFF"/>
          </w:tcPr>
          <w:p>
            <w:pPr>
              <w:jc w:val="right"/>
            </w:pPr>
            <w:r>
              <w:rPr>
                <w:rFonts w:ascii="Times New Roman" w:hAnsi="Times New Roman"/>
                <w:b w:val="0"/>
                <w:sz w:val="21"/>
              </w:rPr>
              <w:t>16</w:t>
            </w:r>
          </w:p>
        </w:tc>
      </w:tr>
      <w:tr>
        <w:tc>
          <w:tcPr>
            <w:tcW w:type="dxa" w:w="1152"/>
            <w:shd w:val="clear" w:color="auto" w:fill="F1F5F9"/>
          </w:tcPr>
          <w:p>
            <w:r>
              <w:rPr>
                <w:rFonts w:ascii="Times New Roman" w:hAnsi="Times New Roman"/>
                <w:b/>
                <w:sz w:val="21"/>
              </w:rPr>
              <w:t>23</w:t>
            </w:r>
          </w:p>
        </w:tc>
        <w:tc>
          <w:tcPr>
            <w:tcW w:type="dxa" w:w="6768"/>
            <w:shd w:val="clear" w:color="auto" w:fill="F1F5F9"/>
          </w:tcPr>
          <w:p>
            <w:r>
              <w:rPr>
                <w:rFonts w:ascii="Times New Roman" w:hAnsi="Times New Roman"/>
                <w:b/>
                <w:sz w:val="21"/>
              </w:rPr>
              <w:t>4. DESIGN APPROACH AND DETAILS</w:t>
            </w:r>
          </w:p>
        </w:tc>
        <w:tc>
          <w:tcPr>
            <w:tcW w:type="dxa" w:w="1152"/>
            <w:shd w:val="clear" w:color="auto" w:fill="F1F5F9"/>
          </w:tcPr>
          <w:p>
            <w:pPr>
              <w:jc w:val="right"/>
            </w:pPr>
            <w:r>
              <w:rPr>
                <w:rFonts w:ascii="Times New Roman" w:hAnsi="Times New Roman"/>
                <w:b/>
                <w:sz w:val="21"/>
              </w:rPr>
              <w:t>17</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4.1 System Architecture</w:t>
            </w:r>
          </w:p>
        </w:tc>
        <w:tc>
          <w:tcPr>
            <w:tcW w:type="dxa" w:w="1152"/>
            <w:shd w:val="clear" w:color="auto" w:fill="FFFFFF"/>
          </w:tcPr>
          <w:p>
            <w:pPr>
              <w:jc w:val="right"/>
            </w:pPr>
            <w:r>
              <w:rPr>
                <w:rFonts w:ascii="Times New Roman" w:hAnsi="Times New Roman"/>
                <w:b w:val="0"/>
                <w:sz w:val="21"/>
              </w:rPr>
              <w:t>17</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4.2 Design &amp; Modeling</w:t>
            </w:r>
          </w:p>
        </w:tc>
        <w:tc>
          <w:tcPr>
            <w:tcW w:type="dxa" w:w="1152"/>
            <w:shd w:val="clear" w:color="auto" w:fill="FFFFFF"/>
          </w:tcPr>
          <w:p>
            <w:pPr>
              <w:jc w:val="right"/>
            </w:pPr>
            <w:r>
              <w:rPr>
                <w:rFonts w:ascii="Times New Roman" w:hAnsi="Times New Roman"/>
                <w:b w:val="0"/>
                <w:sz w:val="21"/>
              </w:rPr>
              <w:t>19</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4.2.1 Data Flow Diagrams (Level 0 &amp; Level 1)</w:t>
            </w:r>
          </w:p>
        </w:tc>
        <w:tc>
          <w:tcPr>
            <w:tcW w:type="dxa" w:w="1152"/>
            <w:shd w:val="clear" w:color="auto" w:fill="FFFFFF"/>
          </w:tcPr>
          <w:p>
            <w:pPr>
              <w:jc w:val="right"/>
            </w:pPr>
            <w:r>
              <w:rPr>
                <w:rFonts w:ascii="Times New Roman" w:hAnsi="Times New Roman"/>
                <w:b w:val="0"/>
                <w:sz w:val="21"/>
              </w:rPr>
              <w:t>19</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4.2.2 Use Case Modeling &amp; Actor Specifications</w:t>
            </w:r>
          </w:p>
        </w:tc>
        <w:tc>
          <w:tcPr>
            <w:tcW w:type="dxa" w:w="1152"/>
            <w:shd w:val="clear" w:color="auto" w:fill="FFFFFF"/>
          </w:tcPr>
          <w:p>
            <w:pPr>
              <w:jc w:val="right"/>
            </w:pPr>
            <w:r>
              <w:rPr>
                <w:rFonts w:ascii="Times New Roman" w:hAnsi="Times New Roman"/>
                <w:b w:val="0"/>
                <w:sz w:val="21"/>
              </w:rPr>
              <w:t>21</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4.2.3 Component &amp; Class Architecture</w:t>
            </w:r>
          </w:p>
        </w:tc>
        <w:tc>
          <w:tcPr>
            <w:tcW w:type="dxa" w:w="1152"/>
            <w:shd w:val="clear" w:color="auto" w:fill="FFFFFF"/>
          </w:tcPr>
          <w:p>
            <w:pPr>
              <w:jc w:val="right"/>
            </w:pPr>
            <w:r>
              <w:rPr>
                <w:rFonts w:ascii="Times New Roman" w:hAnsi="Times New Roman"/>
                <w:b w:val="0"/>
                <w:sz w:val="21"/>
              </w:rPr>
              <w:t>23</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4.2.4 Dynamic Sequence &amp; Interaction Flow</w:t>
            </w:r>
          </w:p>
        </w:tc>
        <w:tc>
          <w:tcPr>
            <w:tcW w:type="dxa" w:w="1152"/>
            <w:shd w:val="clear" w:color="auto" w:fill="FFFFFF"/>
          </w:tcPr>
          <w:p>
            <w:pPr>
              <w:jc w:val="right"/>
            </w:pPr>
            <w:r>
              <w:rPr>
                <w:rFonts w:ascii="Times New Roman" w:hAnsi="Times New Roman"/>
                <w:b w:val="0"/>
                <w:sz w:val="21"/>
              </w:rPr>
              <w:t>24</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4.2.5 Algorithmic Formulations &amp; Mathematical Rigor</w:t>
            </w:r>
          </w:p>
        </w:tc>
        <w:tc>
          <w:tcPr>
            <w:tcW w:type="dxa" w:w="1152"/>
            <w:shd w:val="clear" w:color="auto" w:fill="FFFFFF"/>
          </w:tcPr>
          <w:p>
            <w:pPr>
              <w:jc w:val="right"/>
            </w:pPr>
            <w:r>
              <w:rPr>
                <w:rFonts w:ascii="Times New Roman" w:hAnsi="Times New Roman"/>
                <w:b w:val="0"/>
                <w:sz w:val="21"/>
              </w:rPr>
              <w:t>25</w:t>
            </w:r>
          </w:p>
        </w:tc>
      </w:tr>
      <w:tr>
        <w:tc>
          <w:tcPr>
            <w:tcW w:type="dxa" w:w="1152"/>
            <w:shd w:val="clear" w:color="auto" w:fill="FFFFFF"/>
          </w:tcPr>
          <w:p>
            <w:r>
              <w:rPr>
                <w:rFonts w:ascii="Times New Roman" w:hAnsi="Times New Roman"/>
                <w:b w:val="0"/>
                <w:sz w:val="21"/>
              </w:rPr>
            </w:r>
          </w:p>
        </w:tc>
        <w:tc>
          <w:tcPr>
            <w:tcW w:type="dxa" w:w="6768"/>
            <w:shd w:val="clear" w:color="auto" w:fill="FFFFFF"/>
          </w:tcPr>
          <w:p>
            <w:r>
              <w:rPr>
                <w:rFonts w:ascii="Times New Roman" w:hAnsi="Times New Roman"/>
                <w:b w:val="0"/>
                <w:sz w:val="21"/>
              </w:rPr>
              <w:t>4.2.6 Experimental Evaluation, Benchmarks &amp; Results</w:t>
            </w:r>
          </w:p>
        </w:tc>
        <w:tc>
          <w:tcPr>
            <w:tcW w:type="dxa" w:w="1152"/>
            <w:shd w:val="clear" w:color="auto" w:fill="FFFFFF"/>
          </w:tcPr>
          <w:p>
            <w:pPr>
              <w:jc w:val="right"/>
            </w:pPr>
            <w:r>
              <w:rPr>
                <w:rFonts w:ascii="Times New Roman" w:hAnsi="Times New Roman"/>
                <w:b w:val="0"/>
                <w:sz w:val="21"/>
              </w:rPr>
              <w:t>27</w:t>
            </w:r>
          </w:p>
        </w:tc>
      </w:tr>
      <w:tr>
        <w:tc>
          <w:tcPr>
            <w:tcW w:type="dxa" w:w="1152"/>
            <w:shd w:val="clear" w:color="auto" w:fill="F1F5F9"/>
          </w:tcPr>
          <w:p>
            <w:r>
              <w:rPr>
                <w:rFonts w:ascii="Times New Roman" w:hAnsi="Times New Roman"/>
                <w:b/>
                <w:sz w:val="21"/>
              </w:rPr>
              <w:t>32</w:t>
            </w:r>
          </w:p>
        </w:tc>
        <w:tc>
          <w:tcPr>
            <w:tcW w:type="dxa" w:w="6768"/>
            <w:shd w:val="clear" w:color="auto" w:fill="F1F5F9"/>
          </w:tcPr>
          <w:p>
            <w:r>
              <w:rPr>
                <w:rFonts w:ascii="Times New Roman" w:hAnsi="Times New Roman"/>
                <w:b/>
                <w:sz w:val="21"/>
              </w:rPr>
              <w:t>5. CONCLUSION AND FUTURE WORK</w:t>
            </w:r>
          </w:p>
        </w:tc>
        <w:tc>
          <w:tcPr>
            <w:tcW w:type="dxa" w:w="1152"/>
            <w:shd w:val="clear" w:color="auto" w:fill="F1F5F9"/>
          </w:tcPr>
          <w:p>
            <w:pPr>
              <w:jc w:val="right"/>
            </w:pPr>
            <w:r>
              <w:rPr>
                <w:rFonts w:ascii="Times New Roman" w:hAnsi="Times New Roman"/>
                <w:b/>
                <w:sz w:val="21"/>
              </w:rPr>
              <w:t>30</w:t>
            </w:r>
          </w:p>
        </w:tc>
      </w:tr>
      <w:tr>
        <w:tc>
          <w:tcPr>
            <w:tcW w:type="dxa" w:w="1152"/>
            <w:shd w:val="clear" w:color="auto" w:fill="F1F5F9"/>
          </w:tcPr>
          <w:p>
            <w:r>
              <w:rPr>
                <w:rFonts w:ascii="Times New Roman" w:hAnsi="Times New Roman"/>
                <w:b/>
                <w:sz w:val="21"/>
              </w:rPr>
              <w:t>33</w:t>
            </w:r>
          </w:p>
        </w:tc>
        <w:tc>
          <w:tcPr>
            <w:tcW w:type="dxa" w:w="6768"/>
            <w:shd w:val="clear" w:color="auto" w:fill="F1F5F9"/>
          </w:tcPr>
          <w:p>
            <w:r>
              <w:rPr>
                <w:rFonts w:ascii="Times New Roman" w:hAnsi="Times New Roman"/>
                <w:b/>
                <w:sz w:val="21"/>
              </w:rPr>
              <w:t>6. REFERENCES</w:t>
            </w:r>
          </w:p>
        </w:tc>
        <w:tc>
          <w:tcPr>
            <w:tcW w:type="dxa" w:w="1152"/>
            <w:shd w:val="clear" w:color="auto" w:fill="F1F5F9"/>
          </w:tcPr>
          <w:p>
            <w:pPr>
              <w:jc w:val="right"/>
            </w:pPr>
            <w:r>
              <w:rPr>
                <w:rFonts w:ascii="Times New Roman" w:hAnsi="Times New Roman"/>
                <w:b/>
                <w:sz w:val="21"/>
              </w:rPr>
              <w:t>31</w:t>
            </w:r>
          </w:p>
        </w:tc>
      </w:tr>
    </w:tbl>
    <w:p>
      <w:r>
        <w:br w:type="page"/>
      </w:r>
    </w:p>
    <w:p>
      <w:pPr>
        <w:spacing w:before="360" w:after="160" w:line="360" w:lineRule="auto"/>
      </w:pPr>
      <w:r>
        <w:rPr>
          <w:rFonts w:ascii="Times New Roman" w:hAnsi="Times New Roman"/>
          <w:b/>
          <w:color w:val="000000"/>
          <w:sz w:val="28"/>
        </w:rPr>
        <w:t>1. INTRODUCTION</w:t>
      </w:r>
    </w:p>
    <w:p>
      <w:pPr>
        <w:spacing w:before="280" w:after="120" w:line="360" w:lineRule="auto"/>
      </w:pPr>
      <w:r>
        <w:rPr>
          <w:rFonts w:ascii="Times New Roman" w:hAnsi="Times New Roman"/>
          <w:b/>
          <w:color w:val="000000"/>
          <w:sz w:val="26"/>
        </w:rPr>
        <w:t>1.1 Background</w:t>
      </w:r>
    </w:p>
    <w:p>
      <w:pPr>
        <w:spacing w:line="276" w:lineRule="auto" w:after="120"/>
        <w:jc w:val="both"/>
      </w:pPr>
      <w:r>
        <w:rPr>
          <w:rFonts w:ascii="Times New Roman" w:hAnsi="Times New Roman"/>
          <w:color w:val="000000"/>
          <w:sz w:val="24"/>
        </w:rPr>
        <w:t>In the contemporary data economy, statistical databases and business intelligence platforms serve as foundational infrastructure for evidence-based decision-making. Enterprise databases store massive repositories of highly sensitive data, including electronic medical records, payroll structures, financial transactions, and demographic profiles. To derive analytical utility from these repositories without exposing confidential microdata, organizations typically provide aggregate query interfaces (e.g., executing COUNT, AVG, SUM, MIN, and MAX operations) while restricting access to raw table records.</w:t>
      </w:r>
    </w:p>
    <w:p>
      <w:pPr>
        <w:spacing w:line="276" w:lineRule="auto" w:after="120"/>
        <w:jc w:val="both"/>
      </w:pPr>
      <w:r>
        <w:rPr>
          <w:rFonts w:ascii="Times New Roman" w:hAnsi="Times New Roman"/>
          <w:color w:val="000000"/>
          <w:sz w:val="24"/>
        </w:rPr>
        <w:t>However, aggregate statistics alone do not guarantee individual privacy. A hostile actor armed with auxiliary background knowledge can execute a sequence of carefully designed aggregate queries over slightly modified subpopulations to deduce private attributes belonging to a specific individual. This vector is termed a data triangulation or statistical inference attack. In its most dangerous form, known as linear reconstruction, an adversary systematically isolates a target record through differential arithmetic across intersecting subsets (e.g., subtracting the average salary of an engineering team from the average salary of the engineering team excluding one specific person).</w:t>
      </w:r>
    </w:p>
    <w:p>
      <w:pPr>
        <w:spacing w:line="276" w:lineRule="auto" w:after="120"/>
        <w:jc w:val="both"/>
      </w:pPr>
      <w:r>
        <w:rPr>
          <w:rFonts w:ascii="Times New Roman" w:hAnsi="Times New Roman"/>
          <w:color w:val="000000"/>
          <w:sz w:val="24"/>
        </w:rPr>
        <w:t>To mitigate this vulnerability, Differential Privacy (DP) has emerged as the mathematical gold standard. Defined by Cynthia Dwork in 2006, ε-differential privacy guarantees that the presence or absence of any single individual in a database has an empirically bounded effect on the output probability distribution of any statistical computation. By perturbing numeric outputs with noise drawn from calibrated distributions (such as the Laplace mechanism with scale parameter b = Δf / ε, where Δf is global sensitivity), differential privacy provably bounds disclosure risk.</w:t>
      </w:r>
    </w:p>
    <w:p>
      <w:pPr>
        <w:spacing w:before="280" w:after="120" w:line="360" w:lineRule="auto"/>
      </w:pPr>
      <w:r>
        <w:rPr>
          <w:rFonts w:ascii="Times New Roman" w:hAnsi="Times New Roman"/>
          <w:b/>
          <w:color w:val="000000"/>
          <w:sz w:val="26"/>
        </w:rPr>
        <w:t>1.2 Motivation</w:t>
      </w:r>
    </w:p>
    <w:p>
      <w:pPr>
        <w:spacing w:line="276" w:lineRule="auto" w:after="120"/>
        <w:jc w:val="both"/>
      </w:pPr>
      <w:r>
        <w:rPr>
          <w:rFonts w:ascii="Times New Roman" w:hAnsi="Times New Roman"/>
          <w:color w:val="000000"/>
          <w:sz w:val="24"/>
        </w:rPr>
        <w:t>Despite robust theoretical foundations, the practical deployment of differential privacy in live relational database management systems (RDBMS) remains hindered by critical architectural limitations. Existing database proxies enforce static, pre-allocated privacy budgets (ε) based strictly on user roles (e.g., Admin, Researcher, Guest). These static architectures suffer from two severe structural shortcomings:</w:t>
      </w:r>
    </w:p>
    <w:p>
      <w:pPr>
        <w:pStyle w:val="ListBullet"/>
        <w:spacing w:line="276" w:lineRule="auto" w:after="80"/>
        <w:jc w:val="both"/>
      </w:pPr>
      <w:r>
        <w:rPr>
          <w:rFonts w:ascii="Times New Roman" w:hAnsi="Times New Roman"/>
          <w:b/>
          <w:sz w:val="24"/>
        </w:rPr>
        <w:t xml:space="preserve">Rigid Budget Allocation: </w:t>
      </w:r>
      <w:r>
        <w:rPr>
          <w:rFonts w:ascii="Times New Roman" w:hAnsi="Times New Roman"/>
          <w:sz w:val="24"/>
        </w:rPr>
        <w:t>A static budget allocates uniform noise to every query submitted by a user role, entirely ignoring whether the user is executing harmless, broad statistical queries or actively probing intersecting subpopulations to triangulate an individual.</w:t>
      </w:r>
    </w:p>
    <w:p>
      <w:pPr>
        <w:pStyle w:val="ListBullet"/>
        <w:spacing w:line="276" w:lineRule="auto" w:after="80"/>
        <w:jc w:val="both"/>
      </w:pPr>
      <w:r>
        <w:rPr>
          <w:rFonts w:ascii="Times New Roman" w:hAnsi="Times New Roman"/>
          <w:b/>
          <w:sz w:val="24"/>
        </w:rPr>
        <w:t xml:space="preserve">Denial-Based Side Channels (Denial Leakage): </w:t>
      </w:r>
      <w:r>
        <w:rPr>
          <w:rFonts w:ascii="Times New Roman" w:hAnsi="Times New Roman"/>
          <w:sz w:val="24"/>
        </w:rPr>
        <w:t>When an auditor detects that a user's privacy budget has been exhausted or that an overlap threshold has been crossed, traditional proxies abruptly reject the query, returning an HTTP 403 Forbidden or HTTP 429 Too Many Requests response. In statistical inference theory, a hard refusal acts as an information oracle. The adversary observes the denial and deduces that the subpopulation defined in their WHERE filter has non-zero cardinality and contains a sensitive record, confirming the existence of the targeted subject.</w:t>
      </w:r>
    </w:p>
    <w:p>
      <w:pPr>
        <w:spacing w:line="276" w:lineRule="auto" w:after="120"/>
        <w:jc w:val="both"/>
      </w:pPr>
      <w:r>
        <w:rPr>
          <w:rFonts w:ascii="Times New Roman" w:hAnsi="Times New Roman"/>
          <w:color w:val="000000"/>
          <w:sz w:val="24"/>
        </w:rPr>
        <w:t>These vulnerabilities motivate the design of AP3 (Adaptive Privacy-Preserving Proxy). Rather than relying on static budget consumption and abrupt query denial, AP3 introduces an adaptive control loop that evaluates live triangulation risk in real-time and dynamically couples this risk to differential privacy noise calibration. Furthermore, AP3 implements a non-leaking graceful degradation schedule: as risk escalates or session budgets deplete, answers smoothly degrade with monotonically increasing noise rather than being denied outright, eliminating query-auditing side channels.</w:t>
      </w:r>
    </w:p>
    <w:p>
      <w:pPr>
        <w:spacing w:before="280" w:after="120" w:line="360" w:lineRule="auto"/>
      </w:pPr>
      <w:r>
        <w:rPr>
          <w:rFonts w:ascii="Times New Roman" w:hAnsi="Times New Roman"/>
          <w:b/>
          <w:color w:val="000000"/>
          <w:sz w:val="26"/>
        </w:rPr>
        <w:t>1.3 Scope of the Project</w:t>
      </w:r>
    </w:p>
    <w:p>
      <w:pPr>
        <w:spacing w:line="276" w:lineRule="auto" w:after="120"/>
        <w:jc w:val="both"/>
      </w:pPr>
      <w:r>
        <w:rPr>
          <w:rFonts w:ascii="Times New Roman" w:hAnsi="Times New Roman"/>
          <w:color w:val="000000"/>
          <w:sz w:val="24"/>
        </w:rPr>
        <w:t>The scope of this project encompasses the complete design, formalization, implementation, and empirical validation of the AP3 middleware proxy. The core boundaries and functional targets include:</w:t>
      </w:r>
    </w:p>
    <w:p>
      <w:pPr>
        <w:pStyle w:val="ListBullet"/>
        <w:spacing w:line="276" w:lineRule="auto" w:after="80"/>
        <w:jc w:val="both"/>
      </w:pPr>
      <w:r>
        <w:rPr>
          <w:rFonts w:ascii="Times New Roman" w:hAnsi="Times New Roman"/>
          <w:b/>
          <w:sz w:val="24"/>
        </w:rPr>
        <w:t xml:space="preserve">Attribute-Based Access Control (ABAC): </w:t>
      </w:r>
      <w:r>
        <w:rPr>
          <w:rFonts w:ascii="Times New Roman" w:hAnsi="Times New Roman"/>
          <w:sz w:val="24"/>
        </w:rPr>
        <w:t>Enforcing role-governed cumulative session privacy budgets (20.0 ε for Administrators, 10.0 ε for Researchers, and 2.0 ε for Guests) with sequential privacy composition accounting.</w:t>
      </w:r>
    </w:p>
    <w:p>
      <w:pPr>
        <w:pStyle w:val="ListBullet"/>
        <w:spacing w:line="276" w:lineRule="auto" w:after="80"/>
        <w:jc w:val="both"/>
      </w:pPr>
      <w:r>
        <w:rPr>
          <w:rFonts w:ascii="Times New Roman" w:hAnsi="Times New Roman"/>
          <w:b/>
          <w:sz w:val="24"/>
        </w:rPr>
        <w:t xml:space="preserve">Continuous Triangulation Tracking: </w:t>
      </w:r>
      <w:r>
        <w:rPr>
          <w:rFonts w:ascii="Times New Roman" w:hAnsi="Times New Roman"/>
          <w:sz w:val="24"/>
        </w:rPr>
        <w:t>Analyzing historical query logs in SQLite to compute a bounded continuous inference risk signal r(u, q) in [0, 1) evaluating table similarity, column Jaccard distance, normalized WHERE predicate overlap, and exponential time decay.</w:t>
      </w:r>
    </w:p>
    <w:p>
      <w:pPr>
        <w:pStyle w:val="ListBullet"/>
        <w:spacing w:line="276" w:lineRule="auto" w:after="80"/>
        <w:jc w:val="both"/>
      </w:pPr>
      <w:r>
        <w:rPr>
          <w:rFonts w:ascii="Times New Roman" w:hAnsi="Times New Roman"/>
          <w:b/>
          <w:sz w:val="24"/>
        </w:rPr>
        <w:t xml:space="preserve">Dynamic Risk-to-ε Coupling Engine: </w:t>
      </w:r>
      <w:r>
        <w:rPr>
          <w:rFonts w:ascii="Times New Roman" w:hAnsi="Times New Roman"/>
          <w:sz w:val="24"/>
        </w:rPr>
        <w:t>Operationalizing the non-linear coupling law ε_eff(u, q) = max(ε_min, ε_role · (1 - r(u, q))^γ) where Laplace noise dynamically scales up as triangulation risk increases.</w:t>
      </w:r>
    </w:p>
    <w:p>
      <w:pPr>
        <w:pStyle w:val="ListBullet"/>
        <w:spacing w:line="276" w:lineRule="auto" w:after="80"/>
        <w:jc w:val="both"/>
      </w:pPr>
      <w:r>
        <w:rPr>
          <w:rFonts w:ascii="Times New Roman" w:hAnsi="Times New Roman"/>
          <w:b/>
          <w:sz w:val="24"/>
        </w:rPr>
        <w:t xml:space="preserve">Non-Leaking Graceful Degradation Schedule: </w:t>
      </w:r>
      <w:r>
        <w:rPr>
          <w:rFonts w:ascii="Times New Roman" w:hAnsi="Times New Roman"/>
          <w:sz w:val="24"/>
        </w:rPr>
        <w:t>Eliminating query-auditing denial side channels by clamping privacy budget to an ε_min noise floor (0.05 ε) under high risk or budget depletion.</w:t>
      </w:r>
    </w:p>
    <w:p>
      <w:pPr>
        <w:pStyle w:val="ListBullet"/>
        <w:spacing w:line="276" w:lineRule="auto" w:after="80"/>
        <w:jc w:val="both"/>
      </w:pPr>
      <w:r>
        <w:rPr>
          <w:rFonts w:ascii="Times New Roman" w:hAnsi="Times New Roman"/>
          <w:b/>
          <w:sz w:val="24"/>
        </w:rPr>
        <w:t xml:space="preserve">Relational Database Target Platform: </w:t>
      </w:r>
      <w:r>
        <w:rPr>
          <w:rFonts w:ascii="Times New Roman" w:hAnsi="Times New Roman"/>
          <w:sz w:val="24"/>
        </w:rPr>
        <w:t>Full query-time proxy integration over PostgreSQL executing live SQL aggregates, validated via automated evaluation benchmarks and an interactive browser dashboard.</w:t>
      </w:r>
    </w:p>
    <w:p>
      <w:r>
        <w:br w:type="page"/>
      </w:r>
    </w:p>
    <w:p>
      <w:pPr>
        <w:spacing w:before="360" w:after="160" w:line="360" w:lineRule="auto"/>
      </w:pPr>
      <w:r>
        <w:rPr>
          <w:rFonts w:ascii="Times New Roman" w:hAnsi="Times New Roman"/>
          <w:b/>
          <w:color w:val="000000"/>
          <w:sz w:val="28"/>
        </w:rPr>
        <w:t>2. PROJECT DESCRIPTION AND GOALS</w:t>
      </w:r>
    </w:p>
    <w:p>
      <w:pPr>
        <w:spacing w:before="280" w:after="120" w:line="360" w:lineRule="auto"/>
      </w:pPr>
      <w:r>
        <w:rPr>
          <w:rFonts w:ascii="Times New Roman" w:hAnsi="Times New Roman"/>
          <w:b/>
          <w:color w:val="000000"/>
          <w:sz w:val="26"/>
        </w:rPr>
        <w:t>2.1 Literature Review</w:t>
      </w:r>
    </w:p>
    <w:p>
      <w:pPr>
        <w:spacing w:line="276" w:lineRule="auto" w:after="120"/>
        <w:jc w:val="both"/>
      </w:pPr>
      <w:r>
        <w:rPr>
          <w:rFonts w:ascii="Times New Roman" w:hAnsi="Times New Roman"/>
          <w:color w:val="000000"/>
          <w:sz w:val="24"/>
        </w:rPr>
        <w:t>A rigorous systematic review of privacy-preserving query processing, differential privacy proxies, and adaptive access control was conducted across top security, database, and machine learning venues published between 2022 and 2026. Table 2.1 summarizes the state-of-the-art literature, comparative methodologies, and research gaps addressed by AP3.</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0F2B5C"/>
            <w:tcMar>
              <w:top w:w="120" w:type="dxa"/>
              <w:bottom w:w="120" w:type="dxa"/>
              <w:left w:w="100" w:type="dxa"/>
              <w:right w:w="100" w:type="dxa"/>
            </w:tcMar>
          </w:tcPr>
          <w:p>
            <w:r>
              <w:rPr>
                <w:rFonts w:ascii="Times New Roman" w:hAnsi="Times New Roman"/>
                <w:b/>
                <w:color w:val="FFFFFF"/>
                <w:sz w:val="20"/>
              </w:rPr>
              <w:t>Citation &amp; Author</w:t>
            </w:r>
          </w:p>
        </w:tc>
        <w:tc>
          <w:tcPr>
            <w:tcW w:type="dxa" w:w="2448"/>
            <w:shd w:val="clear" w:color="auto" w:fill="0F2B5C"/>
            <w:tcMar>
              <w:top w:w="120" w:type="dxa"/>
              <w:bottom w:w="120" w:type="dxa"/>
              <w:left w:w="100" w:type="dxa"/>
              <w:right w:w="100" w:type="dxa"/>
            </w:tcMar>
          </w:tcPr>
          <w:p>
            <w:r>
              <w:rPr>
                <w:rFonts w:ascii="Times New Roman" w:hAnsi="Times New Roman"/>
                <w:b/>
                <w:color w:val="FFFFFF"/>
                <w:sz w:val="20"/>
              </w:rPr>
              <w:t>Target Domain &amp; Approach</w:t>
            </w:r>
          </w:p>
        </w:tc>
        <w:tc>
          <w:tcPr>
            <w:tcW w:type="dxa" w:w="3024"/>
            <w:shd w:val="clear" w:color="auto" w:fill="0F2B5C"/>
            <w:tcMar>
              <w:top w:w="120" w:type="dxa"/>
              <w:bottom w:w="120" w:type="dxa"/>
              <w:left w:w="100" w:type="dxa"/>
              <w:right w:w="100" w:type="dxa"/>
            </w:tcMar>
          </w:tcPr>
          <w:p>
            <w:r>
              <w:rPr>
                <w:rFonts w:ascii="Times New Roman" w:hAnsi="Times New Roman"/>
                <w:b/>
                <w:color w:val="FFFFFF"/>
                <w:sz w:val="20"/>
              </w:rPr>
              <w:t>Pros (+) / Limitations (-)</w:t>
            </w:r>
          </w:p>
        </w:tc>
        <w:tc>
          <w:tcPr>
            <w:tcW w:type="dxa" w:w="3168"/>
            <w:shd w:val="clear" w:color="auto" w:fill="0F2B5C"/>
            <w:tcMar>
              <w:top w:w="120" w:type="dxa"/>
              <w:bottom w:w="120" w:type="dxa"/>
              <w:left w:w="100" w:type="dxa"/>
              <w:right w:w="100" w:type="dxa"/>
            </w:tcMar>
          </w:tcPr>
          <w:p>
            <w:r>
              <w:rPr>
                <w:rFonts w:ascii="Times New Roman" w:hAnsi="Times New Roman"/>
                <w:b/>
                <w:color w:val="FFFFFF"/>
                <w:sz w:val="20"/>
              </w:rPr>
              <w:t>AP3 Research Gap Addressed</w:t>
            </w:r>
          </w:p>
        </w:tc>
      </w:tr>
      <w:tr>
        <w:tc>
          <w:tcPr>
            <w:tcW w:type="dxa" w:w="2160"/>
            <w:shd w:val="clear" w:color="auto" w:fill="F8FAFC"/>
            <w:tcMar>
              <w:top w:w="80" w:type="dxa"/>
              <w:bottom w:w="80" w:type="dxa"/>
              <w:left w:w="100" w:type="dxa"/>
              <w:right w:w="100" w:type="dxa"/>
            </w:tcMar>
          </w:tcPr>
          <w:p>
            <w:r>
              <w:rPr>
                <w:rFonts w:ascii="Times New Roman" w:hAnsi="Times New Roman"/>
                <w:color w:val="000000"/>
                <w:sz w:val="19"/>
              </w:rPr>
              <w:t>Cascio et al.</w:t>
              <w:br/>
              <w:t>(DP4SQL, 2026)</w:t>
            </w:r>
          </w:p>
        </w:tc>
        <w:tc>
          <w:tcPr>
            <w:tcW w:type="dxa" w:w="2448"/>
            <w:shd w:val="clear" w:color="auto" w:fill="F8FAFC"/>
            <w:tcMar>
              <w:top w:w="80" w:type="dxa"/>
              <w:bottom w:w="80" w:type="dxa"/>
              <w:left w:w="100" w:type="dxa"/>
              <w:right w:w="100" w:type="dxa"/>
            </w:tcMar>
          </w:tcPr>
          <w:p>
            <w:r>
              <w:rPr>
                <w:rFonts w:ascii="Times New Roman" w:hAnsi="Times New Roman"/>
                <w:color w:val="000000"/>
                <w:sz w:val="19"/>
              </w:rPr>
              <w:t>Policy-driven DP enforcement layer over relational SQL queries</w:t>
            </w:r>
          </w:p>
        </w:tc>
        <w:tc>
          <w:tcPr>
            <w:tcW w:type="dxa" w:w="3024"/>
            <w:shd w:val="clear" w:color="auto" w:fill="F8FAFC"/>
            <w:tcMar>
              <w:top w:w="80" w:type="dxa"/>
              <w:bottom w:w="80" w:type="dxa"/>
              <w:left w:w="100" w:type="dxa"/>
              <w:right w:w="100" w:type="dxa"/>
            </w:tcMar>
          </w:tcPr>
          <w:p>
            <w:r>
              <w:rPr>
                <w:rFonts w:ascii="Times New Roman" w:hAnsi="Times New Roman"/>
                <w:color w:val="000000"/>
                <w:sz w:val="19"/>
              </w:rPr>
              <w:t>(+) Flexible relation-level privacy policies</w:t>
              <w:br/>
              <w:t>(-) Fixed static budgets; no query-time risk adaptation</w:t>
            </w:r>
          </w:p>
        </w:tc>
        <w:tc>
          <w:tcPr>
            <w:tcW w:type="dxa" w:w="3168"/>
            <w:shd w:val="clear" w:color="auto" w:fill="F8FAFC"/>
            <w:tcMar>
              <w:top w:w="80" w:type="dxa"/>
              <w:bottom w:w="80" w:type="dxa"/>
              <w:left w:w="100" w:type="dxa"/>
              <w:right w:w="100" w:type="dxa"/>
            </w:tcMar>
          </w:tcPr>
          <w:p>
            <w:r>
              <w:rPr>
                <w:rFonts w:ascii="Times New Roman" w:hAnsi="Times New Roman"/>
                <w:color w:val="000000"/>
                <w:sz w:val="19"/>
              </w:rPr>
              <w:t>AP3 introduces query-time live triangulation risk coupling.</w:t>
            </w:r>
          </w:p>
        </w:tc>
      </w:tr>
      <w:tr>
        <w:tc>
          <w:tcPr>
            <w:tcW w:type="dxa" w:w="2160"/>
            <w:shd w:val="clear" w:color="auto" w:fill="FFFFFF"/>
            <w:tcMar>
              <w:top w:w="80" w:type="dxa"/>
              <w:bottom w:w="80" w:type="dxa"/>
              <w:left w:w="100" w:type="dxa"/>
              <w:right w:w="100" w:type="dxa"/>
            </w:tcMar>
          </w:tcPr>
          <w:p>
            <w:r>
              <w:rPr>
                <w:rFonts w:ascii="Times New Roman" w:hAnsi="Times New Roman"/>
                <w:color w:val="000000"/>
                <w:sz w:val="19"/>
              </w:rPr>
              <w:t>Majeed et al.</w:t>
              <w:br/>
              <w:t>(IEEE TKDE 2026)</w:t>
            </w:r>
          </w:p>
        </w:tc>
        <w:tc>
          <w:tcPr>
            <w:tcW w:type="dxa" w:w="2448"/>
            <w:shd w:val="clear" w:color="auto" w:fill="FFFFFF"/>
            <w:tcMar>
              <w:top w:w="80" w:type="dxa"/>
              <w:bottom w:w="80" w:type="dxa"/>
              <w:left w:w="100" w:type="dxa"/>
              <w:right w:w="100" w:type="dxa"/>
            </w:tcMar>
          </w:tcPr>
          <w:p>
            <w:r>
              <w:rPr>
                <w:rFonts w:ascii="Times New Roman" w:hAnsi="Times New Roman"/>
                <w:color w:val="000000"/>
                <w:sz w:val="19"/>
              </w:rPr>
              <w:t>Sensitivity-aware, PSO-driven customized ε-DP budgeting</w:t>
            </w:r>
          </w:p>
        </w:tc>
        <w:tc>
          <w:tcPr>
            <w:tcW w:type="dxa" w:w="3024"/>
            <w:shd w:val="clear" w:color="auto" w:fill="FFFFFF"/>
            <w:tcMar>
              <w:top w:w="80" w:type="dxa"/>
              <w:bottom w:w="80" w:type="dxa"/>
              <w:left w:w="100" w:type="dxa"/>
              <w:right w:w="100" w:type="dxa"/>
            </w:tcMar>
          </w:tcPr>
          <w:p>
            <w:r>
              <w:rPr>
                <w:rFonts w:ascii="Times New Roman" w:hAnsi="Times New Roman"/>
                <w:color w:val="000000"/>
                <w:sz w:val="19"/>
              </w:rPr>
              <w:t>(+) Fine-grained record-level budget customization</w:t>
              <w:br/>
              <w:t>(-) Offline machine learning focus; not a query-time SQL proxy</w:t>
            </w:r>
          </w:p>
        </w:tc>
        <w:tc>
          <w:tcPr>
            <w:tcW w:type="dxa" w:w="3168"/>
            <w:shd w:val="clear" w:color="auto" w:fill="FFFFFF"/>
            <w:tcMar>
              <w:top w:w="80" w:type="dxa"/>
              <w:bottom w:w="80" w:type="dxa"/>
              <w:left w:w="100" w:type="dxa"/>
              <w:right w:w="100" w:type="dxa"/>
            </w:tcMar>
          </w:tcPr>
          <w:p>
            <w:r>
              <w:rPr>
                <w:rFonts w:ascii="Times New Roman" w:hAnsi="Times New Roman"/>
                <w:color w:val="000000"/>
                <w:sz w:val="19"/>
              </w:rPr>
              <w:t>AP3 brings dynamic budget adaptation directly to live relational database proxies.</w:t>
            </w:r>
          </w:p>
        </w:tc>
      </w:tr>
      <w:tr>
        <w:tc>
          <w:tcPr>
            <w:tcW w:type="dxa" w:w="2160"/>
            <w:shd w:val="clear" w:color="auto" w:fill="F8FAFC"/>
            <w:tcMar>
              <w:top w:w="80" w:type="dxa"/>
              <w:bottom w:w="80" w:type="dxa"/>
              <w:left w:w="100" w:type="dxa"/>
              <w:right w:w="100" w:type="dxa"/>
            </w:tcMar>
          </w:tcPr>
          <w:p>
            <w:r>
              <w:rPr>
                <w:rFonts w:ascii="Times New Roman" w:hAnsi="Times New Roman"/>
                <w:color w:val="000000"/>
                <w:sz w:val="19"/>
              </w:rPr>
              <w:t>Guerra-Balboa et al.</w:t>
              <w:br/>
              <w:t>(IEEE TIFS 2026)</w:t>
            </w:r>
          </w:p>
        </w:tc>
        <w:tc>
          <w:tcPr>
            <w:tcW w:type="dxa" w:w="2448"/>
            <w:shd w:val="clear" w:color="auto" w:fill="F8FAFC"/>
            <w:tcMar>
              <w:top w:w="80" w:type="dxa"/>
              <w:bottom w:w="80" w:type="dxa"/>
              <w:left w:w="100" w:type="dxa"/>
              <w:right w:w="100" w:type="dxa"/>
            </w:tcMar>
          </w:tcPr>
          <w:p>
            <w:r>
              <w:rPr>
                <w:rFonts w:ascii="Times New Roman" w:hAnsi="Times New Roman"/>
                <w:color w:val="000000"/>
                <w:sz w:val="19"/>
              </w:rPr>
              <w:t>Disclosure risk metric based on reconstruction advantage</w:t>
            </w:r>
          </w:p>
        </w:tc>
        <w:tc>
          <w:tcPr>
            <w:tcW w:type="dxa" w:w="3024"/>
            <w:shd w:val="clear" w:color="auto" w:fill="F8FAFC"/>
            <w:tcMar>
              <w:top w:w="80" w:type="dxa"/>
              <w:bottom w:w="80" w:type="dxa"/>
              <w:left w:w="100" w:type="dxa"/>
              <w:right w:w="100" w:type="dxa"/>
            </w:tcMar>
          </w:tcPr>
          <w:p>
            <w:r>
              <w:rPr>
                <w:rFonts w:ascii="Times New Roman" w:hAnsi="Times New Roman"/>
                <w:color w:val="000000"/>
                <w:sz w:val="19"/>
              </w:rPr>
              <w:t>(+) Formal information-theoretic foundation</w:t>
              <w:br/>
              <w:t>(-) Offline theoretical metric; lacks real-time proxy implementation</w:t>
            </w:r>
          </w:p>
        </w:tc>
        <w:tc>
          <w:tcPr>
            <w:tcW w:type="dxa" w:w="3168"/>
            <w:shd w:val="clear" w:color="auto" w:fill="F8FAFC"/>
            <w:tcMar>
              <w:top w:w="80" w:type="dxa"/>
              <w:bottom w:w="80" w:type="dxa"/>
              <w:left w:w="100" w:type="dxa"/>
              <w:right w:w="100" w:type="dxa"/>
            </w:tcMar>
          </w:tcPr>
          <w:p>
            <w:r>
              <w:rPr>
                <w:rFonts w:ascii="Times New Roman" w:hAnsi="Times New Roman"/>
                <w:color w:val="000000"/>
                <w:sz w:val="19"/>
              </w:rPr>
              <w:t>AP3 operationalizes a continuous bounded risk metric r(u, q) in [0, 1).</w:t>
            </w:r>
          </w:p>
        </w:tc>
      </w:tr>
      <w:tr>
        <w:tc>
          <w:tcPr>
            <w:tcW w:type="dxa" w:w="2160"/>
            <w:shd w:val="clear" w:color="auto" w:fill="FFFFFF"/>
            <w:tcMar>
              <w:top w:w="80" w:type="dxa"/>
              <w:bottom w:w="80" w:type="dxa"/>
              <w:left w:w="100" w:type="dxa"/>
              <w:right w:w="100" w:type="dxa"/>
            </w:tcMar>
          </w:tcPr>
          <w:p>
            <w:r>
              <w:rPr>
                <w:rFonts w:ascii="Times New Roman" w:hAnsi="Times New Roman"/>
                <w:color w:val="000000"/>
                <w:sz w:val="19"/>
              </w:rPr>
              <w:t>Madhusudhanan et al.</w:t>
              <w:br/>
              <w:t>(ACM TIST 2026)</w:t>
            </w:r>
          </w:p>
        </w:tc>
        <w:tc>
          <w:tcPr>
            <w:tcW w:type="dxa" w:w="2448"/>
            <w:shd w:val="clear" w:color="auto" w:fill="FFFFFF"/>
            <w:tcMar>
              <w:top w:w="80" w:type="dxa"/>
              <w:bottom w:w="80" w:type="dxa"/>
              <w:left w:w="100" w:type="dxa"/>
              <w:right w:w="100" w:type="dxa"/>
            </w:tcMar>
          </w:tcPr>
          <w:p>
            <w:r>
              <w:rPr>
                <w:rFonts w:ascii="Times New Roman" w:hAnsi="Times New Roman"/>
                <w:color w:val="000000"/>
                <w:sz w:val="19"/>
              </w:rPr>
              <w:t>PRiDe: Contextual adaptive DP with access control for digital twins</w:t>
            </w:r>
          </w:p>
        </w:tc>
        <w:tc>
          <w:tcPr>
            <w:tcW w:type="dxa" w:w="3024"/>
            <w:shd w:val="clear" w:color="auto" w:fill="FFFFFF"/>
            <w:tcMar>
              <w:top w:w="80" w:type="dxa"/>
              <w:bottom w:w="80" w:type="dxa"/>
              <w:left w:w="100" w:type="dxa"/>
              <w:right w:w="100" w:type="dxa"/>
            </w:tcMar>
          </w:tcPr>
          <w:p>
            <w:r>
              <w:rPr>
                <w:rFonts w:ascii="Times New Roman" w:hAnsi="Times New Roman"/>
                <w:color w:val="000000"/>
                <w:sz w:val="19"/>
              </w:rPr>
              <w:t>(+) Couples empirical risk to ABAC query gating</w:t>
              <w:br/>
              <w:t>(-) Restricted to IoT/digital twins; not relational SQL databases</w:t>
            </w:r>
          </w:p>
        </w:tc>
        <w:tc>
          <w:tcPr>
            <w:tcW w:type="dxa" w:w="3168"/>
            <w:shd w:val="clear" w:color="auto" w:fill="FFFFFF"/>
            <w:tcMar>
              <w:top w:w="80" w:type="dxa"/>
              <w:bottom w:w="80" w:type="dxa"/>
              <w:left w:w="100" w:type="dxa"/>
              <w:right w:w="100" w:type="dxa"/>
            </w:tcMar>
          </w:tcPr>
          <w:p>
            <w:r>
              <w:rPr>
                <w:rFonts w:ascii="Times New Roman" w:hAnsi="Times New Roman"/>
                <w:color w:val="000000"/>
                <w:sz w:val="19"/>
              </w:rPr>
              <w:t>AP3 develops relational SQL proxy mechanics with AST predicate overlap.</w:t>
            </w:r>
          </w:p>
        </w:tc>
      </w:tr>
      <w:tr>
        <w:tc>
          <w:tcPr>
            <w:tcW w:type="dxa" w:w="2160"/>
            <w:shd w:val="clear" w:color="auto" w:fill="F8FAFC"/>
            <w:tcMar>
              <w:top w:w="80" w:type="dxa"/>
              <w:bottom w:w="80" w:type="dxa"/>
              <w:left w:w="100" w:type="dxa"/>
              <w:right w:w="100" w:type="dxa"/>
            </w:tcMar>
          </w:tcPr>
          <w:p>
            <w:r>
              <w:rPr>
                <w:rFonts w:ascii="Times New Roman" w:hAnsi="Times New Roman"/>
                <w:color w:val="000000"/>
                <w:sz w:val="19"/>
              </w:rPr>
              <w:t>Yu et al.</w:t>
              <w:br/>
              <w:t>(VLDB 2024)</w:t>
            </w:r>
          </w:p>
        </w:tc>
        <w:tc>
          <w:tcPr>
            <w:tcW w:type="dxa" w:w="2448"/>
            <w:shd w:val="clear" w:color="auto" w:fill="F8FAFC"/>
            <w:tcMar>
              <w:top w:w="80" w:type="dxa"/>
              <w:bottom w:w="80" w:type="dxa"/>
              <w:left w:w="100" w:type="dxa"/>
              <w:right w:w="100" w:type="dxa"/>
            </w:tcMar>
          </w:tcPr>
          <w:p>
            <w:r>
              <w:rPr>
                <w:rFonts w:ascii="Times New Roman" w:hAnsi="Times New Roman"/>
                <w:color w:val="000000"/>
                <w:sz w:val="19"/>
              </w:rPr>
              <w:t>DOP-SQL: Down-neighborhood optimal DP on PostgreSQL</w:t>
            </w:r>
          </w:p>
        </w:tc>
        <w:tc>
          <w:tcPr>
            <w:tcW w:type="dxa" w:w="3024"/>
            <w:shd w:val="clear" w:color="auto" w:fill="F8FAFC"/>
            <w:tcMar>
              <w:top w:w="80" w:type="dxa"/>
              <w:bottom w:w="80" w:type="dxa"/>
              <w:left w:w="100" w:type="dxa"/>
              <w:right w:w="100" w:type="dxa"/>
            </w:tcMar>
          </w:tcPr>
          <w:p>
            <w:r>
              <w:rPr>
                <w:rFonts w:ascii="Times New Roman" w:hAnsi="Times New Roman"/>
                <w:color w:val="000000"/>
                <w:sz w:val="19"/>
              </w:rPr>
              <w:t>(+) Tighter empirical noise bounds</w:t>
              <w:br/>
              <w:t>(-) Rigid static budget; relies on hard query denial when budget is spent</w:t>
            </w:r>
          </w:p>
        </w:tc>
        <w:tc>
          <w:tcPr>
            <w:tcW w:type="dxa" w:w="3168"/>
            <w:shd w:val="clear" w:color="auto" w:fill="F8FAFC"/>
            <w:tcMar>
              <w:top w:w="80" w:type="dxa"/>
              <w:bottom w:w="80" w:type="dxa"/>
              <w:left w:w="100" w:type="dxa"/>
              <w:right w:w="100" w:type="dxa"/>
            </w:tcMar>
          </w:tcPr>
          <w:p>
            <w:r>
              <w:rPr>
                <w:rFonts w:ascii="Times New Roman" w:hAnsi="Times New Roman"/>
                <w:color w:val="000000"/>
                <w:sz w:val="19"/>
              </w:rPr>
              <w:t>AP3 replaces hard query denial with non-leaking graceful degradation.</w:t>
            </w:r>
          </w:p>
        </w:tc>
      </w:tr>
      <w:tr>
        <w:tc>
          <w:tcPr>
            <w:tcW w:type="dxa" w:w="2160"/>
            <w:shd w:val="clear" w:color="auto" w:fill="FFFFFF"/>
            <w:tcMar>
              <w:top w:w="80" w:type="dxa"/>
              <w:bottom w:w="80" w:type="dxa"/>
              <w:left w:w="100" w:type="dxa"/>
              <w:right w:w="100" w:type="dxa"/>
            </w:tcMar>
          </w:tcPr>
          <w:p>
            <w:r>
              <w:rPr>
                <w:rFonts w:ascii="Times New Roman" w:hAnsi="Times New Roman"/>
                <w:color w:val="000000"/>
                <w:sz w:val="19"/>
              </w:rPr>
              <w:t>Aljaedi</w:t>
              <w:br/>
              <w:t>(IEEE ICCIT 2022)</w:t>
            </w:r>
          </w:p>
        </w:tc>
        <w:tc>
          <w:tcPr>
            <w:tcW w:type="dxa" w:w="2448"/>
            <w:shd w:val="clear" w:color="auto" w:fill="FFFFFF"/>
            <w:tcMar>
              <w:top w:w="80" w:type="dxa"/>
              <w:bottom w:w="80" w:type="dxa"/>
              <w:left w:w="100" w:type="dxa"/>
              <w:right w:w="100" w:type="dxa"/>
            </w:tcMar>
          </w:tcPr>
          <w:p>
            <w:r>
              <w:rPr>
                <w:rFonts w:ascii="Times New Roman" w:hAnsi="Times New Roman"/>
                <w:color w:val="000000"/>
                <w:sz w:val="19"/>
              </w:rPr>
              <w:t>Dynamic differential privacy triggered by inference risk</w:t>
            </w:r>
          </w:p>
        </w:tc>
        <w:tc>
          <w:tcPr>
            <w:tcW w:type="dxa" w:w="3024"/>
            <w:shd w:val="clear" w:color="auto" w:fill="FFFFFF"/>
            <w:tcMar>
              <w:top w:w="80" w:type="dxa"/>
              <w:bottom w:w="80" w:type="dxa"/>
              <w:left w:w="100" w:type="dxa"/>
              <w:right w:w="100" w:type="dxa"/>
            </w:tcMar>
          </w:tcPr>
          <w:p>
            <w:r>
              <w:rPr>
                <w:rFonts w:ascii="Times New Roman" w:hAnsi="Times New Roman"/>
                <w:color w:val="000000"/>
                <w:sz w:val="19"/>
              </w:rPr>
              <w:t>(+) Earliest concept match connecting risk to DP</w:t>
              <w:br/>
              <w:t>(-) Binary threshold trigger; lacks ABAC, budgets, and composition</w:t>
            </w:r>
          </w:p>
        </w:tc>
        <w:tc>
          <w:tcPr>
            <w:tcW w:type="dxa" w:w="3168"/>
            <w:shd w:val="clear" w:color="auto" w:fill="FFFFFF"/>
            <w:tcMar>
              <w:top w:w="80" w:type="dxa"/>
              <w:bottom w:w="80" w:type="dxa"/>
              <w:left w:w="100" w:type="dxa"/>
              <w:right w:w="100" w:type="dxa"/>
            </w:tcMar>
          </w:tcPr>
          <w:p>
            <w:r>
              <w:rPr>
                <w:rFonts w:ascii="Times New Roman" w:hAnsi="Times New Roman"/>
                <w:color w:val="000000"/>
                <w:sz w:val="19"/>
              </w:rPr>
              <w:t>AP3 establishes a continuous coupling law with formal sequential composition.</w:t>
            </w:r>
          </w:p>
        </w:tc>
      </w:tr>
    </w:tbl>
    <w:p>
      <w:pPr>
        <w:spacing w:after="200"/>
      </w:pPr>
    </w:p>
    <w:p>
      <w:pPr>
        <w:spacing w:before="280" w:after="120" w:line="360" w:lineRule="auto"/>
      </w:pPr>
      <w:r>
        <w:rPr>
          <w:rFonts w:ascii="Times New Roman" w:hAnsi="Times New Roman"/>
          <w:b/>
          <w:color w:val="000000"/>
          <w:sz w:val="26"/>
        </w:rPr>
        <w:t>2.2 Research Gap</w:t>
      </w:r>
    </w:p>
    <w:p>
      <w:pPr>
        <w:spacing w:line="276" w:lineRule="auto" w:after="120"/>
        <w:jc w:val="both"/>
      </w:pPr>
      <w:r>
        <w:rPr>
          <w:rFonts w:ascii="Times New Roman" w:hAnsi="Times New Roman"/>
          <w:color w:val="000000"/>
          <w:sz w:val="24"/>
        </w:rPr>
        <w:t>Despite decades of separate advances in differential privacy and database access control, their synergistic combination in a live query-time proxy remains an open frontier. AP3 resolves four fundamental research gaps:</w:t>
      </w:r>
    </w:p>
    <w:p>
      <w:pPr>
        <w:pStyle w:val="ListBullet"/>
        <w:spacing w:line="276" w:lineRule="auto" w:after="80"/>
        <w:jc w:val="both"/>
      </w:pPr>
      <w:r>
        <w:rPr>
          <w:rFonts w:ascii="Times New Roman" w:hAnsi="Times New Roman"/>
          <w:b/>
          <w:sz w:val="24"/>
        </w:rPr>
        <w:t xml:space="preserve">Gap G1 — Live Risk-Adaptive Privacy Budgeting: </w:t>
      </w:r>
      <w:r>
        <w:rPr>
          <w:rFonts w:ascii="Times New Roman" w:hAnsi="Times New Roman"/>
          <w:sz w:val="24"/>
        </w:rPr>
        <w:t>Existing statistical proxies enforce static ε constants per role or session. No prior relational proxy calculates an empirical subpopulation triangulation risk signal r(u, q) to dynamically tune the effective epsilon ε_eff and Laplace scale b at query runtime.</w:t>
      </w:r>
    </w:p>
    <w:p>
      <w:pPr>
        <w:pStyle w:val="ListBullet"/>
        <w:spacing w:line="276" w:lineRule="auto" w:after="80"/>
        <w:jc w:val="both"/>
      </w:pPr>
      <w:r>
        <w:rPr>
          <w:rFonts w:ascii="Times New Roman" w:hAnsi="Times New Roman"/>
          <w:b/>
          <w:sz w:val="24"/>
        </w:rPr>
        <w:t xml:space="preserve">Gap G2 — Denial Leakage in Query-Auditing Proxies: </w:t>
      </w:r>
      <w:r>
        <w:rPr>
          <w:rFonts w:ascii="Times New Roman" w:hAnsi="Times New Roman"/>
          <w:sz w:val="24"/>
        </w:rPr>
        <w:t>Standard statistical auditing systems reject queries (HTTP 403 or HTTP 429) when privacy budgets expire or overlap thresholds are breached. This hard denial acts as an oracle side channel that confirms to an adversary that a sensitive target record was matched.</w:t>
      </w:r>
    </w:p>
    <w:p>
      <w:pPr>
        <w:pStyle w:val="ListBullet"/>
        <w:spacing w:line="276" w:lineRule="auto" w:after="80"/>
        <w:jc w:val="both"/>
      </w:pPr>
      <w:r>
        <w:rPr>
          <w:rFonts w:ascii="Times New Roman" w:hAnsi="Times New Roman"/>
          <w:b/>
          <w:sz w:val="24"/>
        </w:rPr>
        <w:t xml:space="preserve">Gap G3 — Formalized Triangulation Signal vs. Heuristic Counting: </w:t>
      </w:r>
      <w:r>
        <w:rPr>
          <w:rFonts w:ascii="Times New Roman" w:hAnsi="Times New Roman"/>
          <w:sz w:val="24"/>
        </w:rPr>
        <w:t>Prior inference defense prototypes rely on naive table-access counters (e.g., blocking if a table is queried more than 5 times). They fail to model fine-grained WHERE predicate interval intersections, column Jaccard distance, and exponential temporal decay.</w:t>
      </w:r>
    </w:p>
    <w:p>
      <w:pPr>
        <w:pStyle w:val="ListBullet"/>
        <w:spacing w:line="276" w:lineRule="auto" w:after="80"/>
        <w:jc w:val="both"/>
      </w:pPr>
      <w:r>
        <w:rPr>
          <w:rFonts w:ascii="Times New Roman" w:hAnsi="Times New Roman"/>
          <w:b/>
          <w:sz w:val="24"/>
        </w:rPr>
        <w:t xml:space="preserve">Gap G4 — Unified Four-Pillar Security Architecture: </w:t>
      </w:r>
      <w:r>
        <w:rPr>
          <w:rFonts w:ascii="Times New Roman" w:hAnsi="Times New Roman"/>
          <w:sz w:val="24"/>
        </w:rPr>
        <w:t>Access control, injection defense, triangulation tracking, and differential privacy have historically been treated as isolated mechanisms. No existing open-source proxy framework combines all four into a single query-time pipeline with formal sequential composition guarantees.</w:t>
      </w:r>
    </w:p>
    <w:p>
      <w:pPr>
        <w:spacing w:before="280" w:after="120" w:line="360" w:lineRule="auto"/>
      </w:pPr>
      <w:r>
        <w:rPr>
          <w:rFonts w:ascii="Times New Roman" w:hAnsi="Times New Roman"/>
          <w:b/>
          <w:color w:val="000000"/>
          <w:sz w:val="26"/>
        </w:rPr>
        <w:t>2.3 Objectives</w:t>
      </w:r>
    </w:p>
    <w:p>
      <w:pPr>
        <w:spacing w:line="276" w:lineRule="auto" w:after="120"/>
        <w:jc w:val="both"/>
      </w:pPr>
      <w:r>
        <w:rPr>
          <w:rFonts w:ascii="Times New Roman" w:hAnsi="Times New Roman"/>
          <w:color w:val="000000"/>
          <w:sz w:val="24"/>
        </w:rPr>
        <w:t>The AP3 project defines four concrete, measurable research objectives:</w:t>
      </w:r>
    </w:p>
    <w:p>
      <w:pPr>
        <w:pStyle w:val="ListBullet"/>
        <w:spacing w:line="276" w:lineRule="auto" w:after="80"/>
        <w:jc w:val="both"/>
      </w:pPr>
      <w:r>
        <w:rPr>
          <w:rFonts w:ascii="Times New Roman" w:hAnsi="Times New Roman"/>
          <w:b/>
          <w:sz w:val="24"/>
        </w:rPr>
        <w:t xml:space="preserve">Objective O1 — Mathematical Coupling Law Formulation: </w:t>
      </w:r>
      <w:r>
        <w:rPr>
          <w:rFonts w:ascii="Times New Roman" w:hAnsi="Times New Roman"/>
          <w:sz w:val="24"/>
        </w:rPr>
        <w:t>Formulate and operationalize the risk-to-ε coupling law: ε_eff(u, q) = max(ε_min, ε_role · (1 - r(u, q))^γ), and prove that it satisfies formal (ε, δ) differential privacy bounds under sequential composition.</w:t>
      </w:r>
    </w:p>
    <w:p>
      <w:pPr>
        <w:pStyle w:val="ListBullet"/>
        <w:spacing w:line="276" w:lineRule="auto" w:after="80"/>
        <w:jc w:val="both"/>
      </w:pPr>
      <w:r>
        <w:rPr>
          <w:rFonts w:ascii="Times New Roman" w:hAnsi="Times New Roman"/>
          <w:b/>
          <w:sz w:val="24"/>
        </w:rPr>
        <w:t xml:space="preserve">Objective O2 — Non-Leaking Graceful Degradation Schedule: </w:t>
      </w:r>
      <w:r>
        <w:rPr>
          <w:rFonts w:ascii="Times New Roman" w:hAnsi="Times New Roman"/>
          <w:sz w:val="24"/>
        </w:rPr>
        <w:t>Design and validate a graceful degradation schedule that replaces hard query denial with monotonically increasing Laplace perturbation (ε → ε_min = 0.05), preventing denial-based side-channel leakage.</w:t>
      </w:r>
    </w:p>
    <w:p>
      <w:pPr>
        <w:pStyle w:val="ListBullet"/>
        <w:spacing w:line="276" w:lineRule="auto" w:after="80"/>
        <w:jc w:val="both"/>
      </w:pPr>
      <w:r>
        <w:rPr>
          <w:rFonts w:ascii="Times New Roman" w:hAnsi="Times New Roman"/>
          <w:b/>
          <w:sz w:val="24"/>
        </w:rPr>
        <w:t xml:space="preserve">Objective O3 — Unified 8-Stage Query Processing Pipeline: </w:t>
      </w:r>
      <w:r>
        <w:rPr>
          <w:rFonts w:ascii="Times New Roman" w:hAnsi="Times New Roman"/>
          <w:sz w:val="24"/>
        </w:rPr>
        <w:t>Engineer an end-to-end middleware proxy pipeline executing: SQL parsing → Injection guard → Predicate extraction → Live triangulation assessment → Dynamic DP coupling → PostgreSQL execution → Laplace noise addition → SQLite audit persistence.</w:t>
      </w:r>
    </w:p>
    <w:p>
      <w:pPr>
        <w:pStyle w:val="ListBullet"/>
        <w:spacing w:line="276" w:lineRule="auto" w:after="80"/>
        <w:jc w:val="both"/>
      </w:pPr>
      <w:r>
        <w:rPr>
          <w:rFonts w:ascii="Times New Roman" w:hAnsi="Times New Roman"/>
          <w:b/>
          <w:sz w:val="24"/>
        </w:rPr>
        <w:t xml:space="preserve">Objective O4 — Comprehensive Empirical Benchmarking: </w:t>
      </w:r>
      <w:r>
        <w:rPr>
          <w:rFonts w:ascii="Times New Roman" w:hAnsi="Times New Roman"/>
          <w:sz w:val="24"/>
        </w:rPr>
        <w:t>Evaluate AP3 across: (1) privacy-utility trade-off curves (MAE/RMSE vs. theoretical bounds), (2) adversarial triangulation attack suppression, (3) elimination of denial leakage, and (4) middleware execution latency overhead against static baselines.</w:t>
      </w:r>
    </w:p>
    <w:p>
      <w:pPr>
        <w:spacing w:before="280" w:after="120" w:line="360" w:lineRule="auto"/>
      </w:pPr>
      <w:r>
        <w:rPr>
          <w:rFonts w:ascii="Times New Roman" w:hAnsi="Times New Roman"/>
          <w:b/>
          <w:color w:val="000000"/>
          <w:sz w:val="26"/>
        </w:rPr>
        <w:t>2.4 Problem Statement</w:t>
      </w:r>
    </w:p>
    <w:p>
      <w:pPr>
        <w:spacing w:line="276" w:lineRule="auto" w:after="120"/>
        <w:jc w:val="both"/>
      </w:pPr>
      <w:r>
        <w:rPr>
          <w:rFonts w:ascii="Times New Roman" w:hAnsi="Times New Roman"/>
          <w:color w:val="000000"/>
          <w:sz w:val="24"/>
        </w:rPr>
        <w:t>How can a relational database middleware proxy provide collaborative analytics access over sensitive aggregate data while dynamically adapting differential privacy noise to live triangulation risk, eliminating query-auditing denial side channels, and maintaining sub-15 millisecond execution latency?</w:t>
      </w:r>
    </w:p>
    <w:p>
      <w:pPr>
        <w:spacing w:before="280" w:after="120" w:line="360" w:lineRule="auto"/>
      </w:pPr>
      <w:r>
        <w:rPr>
          <w:rFonts w:ascii="Times New Roman" w:hAnsi="Times New Roman"/>
          <w:b/>
          <w:color w:val="000000"/>
          <w:sz w:val="26"/>
        </w:rPr>
        <w:t>2.5 Project Plan &amp; Milestones</w:t>
      </w:r>
    </w:p>
    <w:p>
      <w:pPr>
        <w:spacing w:line="276" w:lineRule="auto" w:after="120"/>
        <w:jc w:val="both"/>
      </w:pPr>
      <w:r>
        <w:rPr>
          <w:rFonts w:ascii="Times New Roman" w:hAnsi="Times New Roman"/>
          <w:color w:val="000000"/>
          <w:sz w:val="24"/>
        </w:rPr>
        <w:t>The project execution follows a structured milestone schedule aligned with B.Tech Review phases. Table 2.2 outlines the deliverables, status, and completion timeline.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0F2B5C"/>
            <w:tcMar>
              <w:top w:w="100" w:type="dxa"/>
              <w:bottom w:w="100" w:type="dxa"/>
              <w:left w:w="100" w:type="dxa"/>
              <w:right w:w="100" w:type="dxa"/>
            </w:tcMar>
          </w:tcPr>
          <w:p>
            <w:r>
              <w:rPr>
                <w:rFonts w:ascii="Times New Roman" w:hAnsi="Times New Roman"/>
                <w:b/>
                <w:color w:val="FFFFFF"/>
                <w:sz w:val="20"/>
              </w:rPr>
              <w:t>Milestone</w:t>
            </w:r>
          </w:p>
        </w:tc>
        <w:tc>
          <w:tcPr>
            <w:tcW w:type="dxa" w:w="3168"/>
            <w:shd w:val="clear" w:color="auto" w:fill="0F2B5C"/>
            <w:tcMar>
              <w:top w:w="100" w:type="dxa"/>
              <w:bottom w:w="100" w:type="dxa"/>
              <w:left w:w="100" w:type="dxa"/>
              <w:right w:w="100" w:type="dxa"/>
            </w:tcMar>
          </w:tcPr>
          <w:p>
            <w:r>
              <w:rPr>
                <w:rFonts w:ascii="Times New Roman" w:hAnsi="Times New Roman"/>
                <w:b/>
                <w:color w:val="FFFFFF"/>
                <w:sz w:val="20"/>
              </w:rPr>
              <w:t>Core Deliverables</w:t>
            </w:r>
          </w:p>
        </w:tc>
        <w:tc>
          <w:tcPr>
            <w:tcW w:type="dxa" w:w="3744"/>
            <w:shd w:val="clear" w:color="auto" w:fill="0F2B5C"/>
            <w:tcMar>
              <w:top w:w="100" w:type="dxa"/>
              <w:bottom w:w="100" w:type="dxa"/>
              <w:left w:w="100" w:type="dxa"/>
              <w:right w:w="100" w:type="dxa"/>
            </w:tcMar>
          </w:tcPr>
          <w:p>
            <w:r>
              <w:rPr>
                <w:rFonts w:ascii="Times New Roman" w:hAnsi="Times New Roman"/>
                <w:b/>
                <w:color w:val="FFFFFF"/>
                <w:sz w:val="20"/>
              </w:rPr>
              <w:t>Technical Implementation</w:t>
            </w:r>
          </w:p>
        </w:tc>
        <w:tc>
          <w:tcPr>
            <w:tcW w:type="dxa" w:w="2160"/>
            <w:shd w:val="clear" w:color="auto" w:fill="0F2B5C"/>
            <w:tcMar>
              <w:top w:w="100" w:type="dxa"/>
              <w:bottom w:w="100" w:type="dxa"/>
              <w:left w:w="100" w:type="dxa"/>
              <w:right w:w="100" w:type="dxa"/>
            </w:tcMar>
          </w:tcPr>
          <w:p>
            <w:r>
              <w:rPr>
                <w:rFonts w:ascii="Times New Roman" w:hAnsi="Times New Roman"/>
                <w:b/>
                <w:color w:val="FFFFFF"/>
                <w:sz w:val="20"/>
              </w:rPr>
              <w:t>Status</w:t>
            </w:r>
          </w:p>
        </w:tc>
      </w:tr>
      <w:tr>
        <w:tc>
          <w:tcPr>
            <w:tcW w:type="dxa" w:w="1728"/>
            <w:shd w:val="clear" w:color="auto" w:fill="F8FAFC"/>
            <w:tcMar>
              <w:top w:w="80" w:type="dxa"/>
              <w:bottom w:w="80" w:type="dxa"/>
              <w:left w:w="100" w:type="dxa"/>
              <w:right w:w="100" w:type="dxa"/>
            </w:tcMar>
          </w:tcPr>
          <w:p>
            <w:r>
              <w:rPr>
                <w:rFonts w:ascii="Times New Roman" w:hAnsi="Times New Roman"/>
                <w:color w:val="000000"/>
                <w:sz w:val="19"/>
              </w:rPr>
              <w:t>Review 1</w:t>
              <w:br/>
              <w:t>(July 2026)</w:t>
            </w:r>
          </w:p>
        </w:tc>
        <w:tc>
          <w:tcPr>
            <w:tcW w:type="dxa" w:w="3168"/>
            <w:shd w:val="clear" w:color="auto" w:fill="F8FAFC"/>
            <w:tcMar>
              <w:top w:w="80" w:type="dxa"/>
              <w:bottom w:w="80" w:type="dxa"/>
              <w:left w:w="100" w:type="dxa"/>
              <w:right w:w="100" w:type="dxa"/>
            </w:tcMar>
          </w:tcPr>
          <w:p>
            <w:r>
              <w:rPr>
                <w:rFonts w:ascii="Times New Roman" w:hAnsi="Times New Roman"/>
                <w:color w:val="000000"/>
                <w:sz w:val="19"/>
              </w:rPr>
              <w:t>Concept Formulation &amp; Baseline Scaffolding</w:t>
            </w:r>
          </w:p>
        </w:tc>
        <w:tc>
          <w:tcPr>
            <w:tcW w:type="dxa" w:w="3744"/>
            <w:shd w:val="clear" w:color="auto" w:fill="F8FAFC"/>
            <w:tcMar>
              <w:top w:w="80" w:type="dxa"/>
              <w:bottom w:w="80" w:type="dxa"/>
              <w:left w:w="100" w:type="dxa"/>
              <w:right w:w="100" w:type="dxa"/>
            </w:tcMar>
          </w:tcPr>
          <w:p>
            <w:r>
              <w:rPr>
                <w:rFonts w:ascii="Times New Roman" w:hAnsi="Times New Roman"/>
                <w:color w:val="000000"/>
                <w:sz w:val="19"/>
              </w:rPr>
              <w:t>Literature review, research gap analysis, static prototype with basic diffprivlib Laplace noise.</w:t>
            </w:r>
          </w:p>
        </w:tc>
        <w:tc>
          <w:tcPr>
            <w:tcW w:type="dxa" w:w="2160"/>
            <w:shd w:val="clear" w:color="auto" w:fill="F8FAFC"/>
            <w:tcMar>
              <w:top w:w="80" w:type="dxa"/>
              <w:bottom w:w="80" w:type="dxa"/>
              <w:left w:w="100" w:type="dxa"/>
              <w:right w:w="100" w:type="dxa"/>
            </w:tcMar>
          </w:tcPr>
          <w:p>
            <w:r>
              <w:rPr>
                <w:rFonts w:ascii="Times New Roman" w:hAnsi="Times New Roman"/>
                <w:color w:val="000000"/>
                <w:sz w:val="19"/>
              </w:rPr>
              <w:t>Completed</w:t>
            </w:r>
          </w:p>
        </w:tc>
      </w:tr>
      <w:tr>
        <w:tc>
          <w:tcPr>
            <w:tcW w:type="dxa" w:w="1728"/>
            <w:shd w:val="clear" w:color="auto" w:fill="FFFFFF"/>
            <w:tcMar>
              <w:top w:w="80" w:type="dxa"/>
              <w:bottom w:w="80" w:type="dxa"/>
              <w:left w:w="100" w:type="dxa"/>
              <w:right w:w="100" w:type="dxa"/>
            </w:tcMar>
          </w:tcPr>
          <w:p>
            <w:r>
              <w:rPr>
                <w:rFonts w:ascii="Times New Roman" w:hAnsi="Times New Roman"/>
                <w:color w:val="000000"/>
                <w:sz w:val="19"/>
              </w:rPr>
              <w:t>Review 2</w:t>
              <w:br/>
              <w:t>(Sept 2026)</w:t>
            </w:r>
          </w:p>
        </w:tc>
        <w:tc>
          <w:tcPr>
            <w:tcW w:type="dxa" w:w="3168"/>
            <w:shd w:val="clear" w:color="auto" w:fill="FFFFFF"/>
            <w:tcMar>
              <w:top w:w="80" w:type="dxa"/>
              <w:bottom w:w="80" w:type="dxa"/>
              <w:left w:w="100" w:type="dxa"/>
              <w:right w:w="100" w:type="dxa"/>
            </w:tcMar>
          </w:tcPr>
          <w:p>
            <w:r>
              <w:rPr>
                <w:rFonts w:ascii="Times New Roman" w:hAnsi="Times New Roman"/>
                <w:color w:val="000000"/>
                <w:sz w:val="19"/>
              </w:rPr>
              <w:t>Risk Coupling &amp; Core Pipeline Integration</w:t>
            </w:r>
          </w:p>
        </w:tc>
        <w:tc>
          <w:tcPr>
            <w:tcW w:type="dxa" w:w="3744"/>
            <w:shd w:val="clear" w:color="auto" w:fill="FFFFFF"/>
            <w:tcMar>
              <w:top w:w="80" w:type="dxa"/>
              <w:bottom w:w="80" w:type="dxa"/>
              <w:left w:w="100" w:type="dxa"/>
              <w:right w:w="100" w:type="dxa"/>
            </w:tcMar>
          </w:tcPr>
          <w:p>
            <w:r>
              <w:rPr>
                <w:rFonts w:ascii="Times New Roman" w:hAnsi="Times New Roman"/>
                <w:color w:val="000000"/>
                <w:sz w:val="19"/>
              </w:rPr>
              <w:t>Mathematical formulation of r(u, q), coupling law ε_eff, graceful degradation schedule, PostgreSQL execution, automated benchmark suite.</w:t>
            </w:r>
          </w:p>
        </w:tc>
        <w:tc>
          <w:tcPr>
            <w:tcW w:type="dxa" w:w="2160"/>
            <w:shd w:val="clear" w:color="auto" w:fill="FFFFFF"/>
            <w:tcMar>
              <w:top w:w="80" w:type="dxa"/>
              <w:bottom w:w="80" w:type="dxa"/>
              <w:left w:w="100" w:type="dxa"/>
              <w:right w:w="100" w:type="dxa"/>
            </w:tcMar>
          </w:tcPr>
          <w:p>
            <w:r>
              <w:rPr>
                <w:rFonts w:ascii="Times New Roman" w:hAnsi="Times New Roman"/>
                <w:color w:val="000000"/>
                <w:sz w:val="19"/>
              </w:rPr>
              <w:t>Completed &amp; Verified</w:t>
            </w:r>
          </w:p>
        </w:tc>
      </w:tr>
      <w:tr>
        <w:tc>
          <w:tcPr>
            <w:tcW w:type="dxa" w:w="1728"/>
            <w:shd w:val="clear" w:color="auto" w:fill="F8FAFC"/>
            <w:tcMar>
              <w:top w:w="80" w:type="dxa"/>
              <w:bottom w:w="80" w:type="dxa"/>
              <w:left w:w="100" w:type="dxa"/>
              <w:right w:w="100" w:type="dxa"/>
            </w:tcMar>
          </w:tcPr>
          <w:p>
            <w:r>
              <w:rPr>
                <w:rFonts w:ascii="Times New Roman" w:hAnsi="Times New Roman"/>
                <w:color w:val="000000"/>
                <w:sz w:val="19"/>
              </w:rPr>
              <w:t>Review 2.5</w:t>
              <w:br/>
              <w:t>(Oct 2026)</w:t>
            </w:r>
          </w:p>
        </w:tc>
        <w:tc>
          <w:tcPr>
            <w:tcW w:type="dxa" w:w="3168"/>
            <w:shd w:val="clear" w:color="auto" w:fill="F8FAFC"/>
            <w:tcMar>
              <w:top w:w="80" w:type="dxa"/>
              <w:bottom w:w="80" w:type="dxa"/>
              <w:left w:w="100" w:type="dxa"/>
              <w:right w:w="100" w:type="dxa"/>
            </w:tcMar>
          </w:tcPr>
          <w:p>
            <w:r>
              <w:rPr>
                <w:rFonts w:ascii="Times New Roman" w:hAnsi="Times New Roman"/>
                <w:color w:val="000000"/>
                <w:sz w:val="19"/>
              </w:rPr>
              <w:t>UI/UX &amp; Telemetry Playground</w:t>
            </w:r>
          </w:p>
        </w:tc>
        <w:tc>
          <w:tcPr>
            <w:tcW w:type="dxa" w:w="3744"/>
            <w:shd w:val="clear" w:color="auto" w:fill="F8FAFC"/>
            <w:tcMar>
              <w:top w:w="80" w:type="dxa"/>
              <w:bottom w:w="80" w:type="dxa"/>
              <w:left w:w="100" w:type="dxa"/>
              <w:right w:w="100" w:type="dxa"/>
            </w:tcMar>
          </w:tcPr>
          <w:p>
            <w:r>
              <w:rPr>
                <w:rFonts w:ascii="Times New Roman" w:hAnsi="Times New Roman"/>
                <w:color w:val="000000"/>
                <w:sz w:val="19"/>
              </w:rPr>
              <w:t>Interactive browser dashboard, real-time risk gauges, 1-click guided scenario runner, dark-mode Swagger explorer.</w:t>
            </w:r>
          </w:p>
        </w:tc>
        <w:tc>
          <w:tcPr>
            <w:tcW w:type="dxa" w:w="2160"/>
            <w:shd w:val="clear" w:color="auto" w:fill="F8FAFC"/>
            <w:tcMar>
              <w:top w:w="80" w:type="dxa"/>
              <w:bottom w:w="80" w:type="dxa"/>
              <w:left w:w="100" w:type="dxa"/>
              <w:right w:w="100" w:type="dxa"/>
            </w:tcMar>
          </w:tcPr>
          <w:p>
            <w:r>
              <w:rPr>
                <w:rFonts w:ascii="Times New Roman" w:hAnsi="Times New Roman"/>
                <w:color w:val="000000"/>
                <w:sz w:val="19"/>
              </w:rPr>
              <w:t>Completed &amp; Live</w:t>
            </w:r>
          </w:p>
        </w:tc>
      </w:tr>
      <w:tr>
        <w:tc>
          <w:tcPr>
            <w:tcW w:type="dxa" w:w="1728"/>
            <w:shd w:val="clear" w:color="auto" w:fill="FFFFFF"/>
            <w:tcMar>
              <w:top w:w="80" w:type="dxa"/>
              <w:bottom w:w="80" w:type="dxa"/>
              <w:left w:w="100" w:type="dxa"/>
              <w:right w:w="100" w:type="dxa"/>
            </w:tcMar>
          </w:tcPr>
          <w:p>
            <w:r>
              <w:rPr>
                <w:rFonts w:ascii="Times New Roman" w:hAnsi="Times New Roman"/>
                <w:color w:val="000000"/>
                <w:sz w:val="19"/>
              </w:rPr>
              <w:t>Review 3</w:t>
              <w:br/>
              <w:t>(Nov 2026)</w:t>
            </w:r>
          </w:p>
        </w:tc>
        <w:tc>
          <w:tcPr>
            <w:tcW w:type="dxa" w:w="3168"/>
            <w:shd w:val="clear" w:color="auto" w:fill="FFFFFF"/>
            <w:tcMar>
              <w:top w:w="80" w:type="dxa"/>
              <w:bottom w:w="80" w:type="dxa"/>
              <w:left w:w="100" w:type="dxa"/>
              <w:right w:w="100" w:type="dxa"/>
            </w:tcMar>
          </w:tcPr>
          <w:p>
            <w:r>
              <w:rPr>
                <w:rFonts w:ascii="Times New Roman" w:hAnsi="Times New Roman"/>
                <w:color w:val="000000"/>
                <w:sz w:val="19"/>
              </w:rPr>
              <w:t>Advanced Privacy Accounting &amp; Multi-Table Joins</w:t>
            </w:r>
          </w:p>
        </w:tc>
        <w:tc>
          <w:tcPr>
            <w:tcW w:type="dxa" w:w="3744"/>
            <w:shd w:val="clear" w:color="auto" w:fill="FFFFFF"/>
            <w:tcMar>
              <w:top w:w="80" w:type="dxa"/>
              <w:bottom w:w="80" w:type="dxa"/>
              <w:left w:w="100" w:type="dxa"/>
              <w:right w:w="100" w:type="dxa"/>
            </w:tcMar>
          </w:tcPr>
          <w:p>
            <w:r>
              <w:rPr>
                <w:rFonts w:ascii="Times New Roman" w:hAnsi="Times New Roman"/>
                <w:color w:val="000000"/>
                <w:sz w:val="19"/>
              </w:rPr>
              <w:t>Rényi Differential Privacy (RDP) accounting, Gaussian mechanism support, multi-table foreign-key JOIN subpopulation overlap.</w:t>
            </w:r>
          </w:p>
        </w:tc>
        <w:tc>
          <w:tcPr>
            <w:tcW w:type="dxa" w:w="2160"/>
            <w:shd w:val="clear" w:color="auto" w:fill="FFFFFF"/>
            <w:tcMar>
              <w:top w:w="80" w:type="dxa"/>
              <w:bottom w:w="80" w:type="dxa"/>
              <w:left w:w="100" w:type="dxa"/>
              <w:right w:w="100" w:type="dxa"/>
            </w:tcMar>
          </w:tcPr>
          <w:p>
            <w:r>
              <w:rPr>
                <w:rFonts w:ascii="Times New Roman" w:hAnsi="Times New Roman"/>
                <w:color w:val="000000"/>
                <w:sz w:val="19"/>
              </w:rPr>
              <w:t>In Progress</w:t>
            </w:r>
          </w:p>
        </w:tc>
      </w:tr>
      <w:tr>
        <w:tc>
          <w:tcPr>
            <w:tcW w:type="dxa" w:w="1728"/>
            <w:shd w:val="clear" w:color="auto" w:fill="F8FAFC"/>
            <w:tcMar>
              <w:top w:w="80" w:type="dxa"/>
              <w:bottom w:w="80" w:type="dxa"/>
              <w:left w:w="100" w:type="dxa"/>
              <w:right w:w="100" w:type="dxa"/>
            </w:tcMar>
          </w:tcPr>
          <w:p>
            <w:r>
              <w:rPr>
                <w:rFonts w:ascii="Times New Roman" w:hAnsi="Times New Roman"/>
                <w:color w:val="000000"/>
                <w:sz w:val="19"/>
              </w:rPr>
              <w:t>Final Submission</w:t>
              <w:br/>
              <w:t>(Dec 2026)</w:t>
            </w:r>
          </w:p>
        </w:tc>
        <w:tc>
          <w:tcPr>
            <w:tcW w:type="dxa" w:w="3168"/>
            <w:shd w:val="clear" w:color="auto" w:fill="F8FAFC"/>
            <w:tcMar>
              <w:top w:w="80" w:type="dxa"/>
              <w:bottom w:w="80" w:type="dxa"/>
              <w:left w:w="100" w:type="dxa"/>
              <w:right w:w="100" w:type="dxa"/>
            </w:tcMar>
          </w:tcPr>
          <w:p>
            <w:r>
              <w:rPr>
                <w:rFonts w:ascii="Times New Roman" w:hAnsi="Times New Roman"/>
                <w:color w:val="000000"/>
                <w:sz w:val="19"/>
              </w:rPr>
              <w:t>Final Dissertation &amp; Manuscript Submission</w:t>
            </w:r>
          </w:p>
        </w:tc>
        <w:tc>
          <w:tcPr>
            <w:tcW w:type="dxa" w:w="3744"/>
            <w:shd w:val="clear" w:color="auto" w:fill="F8FAFC"/>
            <w:tcMar>
              <w:top w:w="80" w:type="dxa"/>
              <w:bottom w:w="80" w:type="dxa"/>
              <w:left w:w="100" w:type="dxa"/>
              <w:right w:w="100" w:type="dxa"/>
            </w:tcMar>
          </w:tcPr>
          <w:p>
            <w:r>
              <w:rPr>
                <w:rFonts w:ascii="Times New Roman" w:hAnsi="Times New Roman"/>
                <w:color w:val="000000"/>
                <w:sz w:val="19"/>
              </w:rPr>
              <w:t>Comprehensive final documentation, Scopus-indexed conference / journal manuscript submission, TRL 4 validation.</w:t>
            </w:r>
          </w:p>
        </w:tc>
        <w:tc>
          <w:tcPr>
            <w:tcW w:type="dxa" w:w="2160"/>
            <w:shd w:val="clear" w:color="auto" w:fill="F8FAFC"/>
            <w:tcMar>
              <w:top w:w="80" w:type="dxa"/>
              <w:bottom w:w="80" w:type="dxa"/>
              <w:left w:w="100" w:type="dxa"/>
              <w:right w:w="100" w:type="dxa"/>
            </w:tcMar>
          </w:tcPr>
          <w:p>
            <w:r>
              <w:rPr>
                <w:rFonts w:ascii="Times New Roman" w:hAnsi="Times New Roman"/>
                <w:color w:val="000000"/>
                <w:sz w:val="19"/>
              </w:rPr>
              <w:t>Scheduled</w:t>
            </w:r>
          </w:p>
        </w:tc>
      </w:tr>
    </w:tbl>
    <w:p>
      <w:r>
        <w:br w:type="page"/>
      </w:r>
    </w:p>
    <w:p>
      <w:pPr>
        <w:spacing w:before="360" w:after="160" w:line="360" w:lineRule="auto"/>
      </w:pPr>
      <w:r>
        <w:rPr>
          <w:rFonts w:ascii="Times New Roman" w:hAnsi="Times New Roman"/>
          <w:b/>
          <w:color w:val="000000"/>
          <w:sz w:val="28"/>
        </w:rPr>
        <w:t>3. TECHNICAL SPECIFICATION</w:t>
      </w:r>
    </w:p>
    <w:p>
      <w:pPr>
        <w:spacing w:before="280" w:after="120" w:line="360" w:lineRule="auto"/>
      </w:pPr>
      <w:r>
        <w:rPr>
          <w:rFonts w:ascii="Times New Roman" w:hAnsi="Times New Roman"/>
          <w:b/>
          <w:color w:val="000000"/>
          <w:sz w:val="26"/>
        </w:rPr>
        <w:t>3.1 Requirements</w:t>
      </w:r>
    </w:p>
    <w:p>
      <w:pPr>
        <w:spacing w:before="200" w:after="80" w:line="360" w:lineRule="auto"/>
      </w:pPr>
      <w:r>
        <w:rPr>
          <w:rFonts w:ascii="Times New Roman" w:hAnsi="Times New Roman"/>
          <w:b/>
          <w:i/>
          <w:color w:val="000000"/>
          <w:sz w:val="24"/>
        </w:rPr>
        <w:t>3.1.1 Functional Requirements</w:t>
      </w:r>
    </w:p>
    <w:p>
      <w:pPr>
        <w:pStyle w:val="ListBullet"/>
        <w:spacing w:line="276" w:lineRule="auto" w:after="80"/>
        <w:jc w:val="both"/>
      </w:pPr>
      <w:r>
        <w:rPr>
          <w:rFonts w:ascii="Times New Roman" w:hAnsi="Times New Roman"/>
          <w:b/>
          <w:sz w:val="24"/>
        </w:rPr>
        <w:t xml:space="preserve">FR1 — SQL AST Tokenization &amp; Predicate Extraction: </w:t>
      </w:r>
      <w:r>
        <w:rPr>
          <w:rFonts w:ascii="Times New Roman" w:hAnsi="Times New Roman"/>
          <w:sz w:val="24"/>
        </w:rPr>
        <w:t>The proxy must parse incoming SQL into Abstract Syntax Tree (AST) tokens via sqlparse, extracting target tables, projection columns, aggregate functions (COUNT, AVG, SUM, MIN, MAX), and normalized WHERE predicates.</w:t>
      </w:r>
    </w:p>
    <w:p>
      <w:pPr>
        <w:pStyle w:val="ListBullet"/>
        <w:spacing w:line="276" w:lineRule="auto" w:after="80"/>
        <w:jc w:val="both"/>
      </w:pPr>
      <w:r>
        <w:rPr>
          <w:rFonts w:ascii="Times New Roman" w:hAnsi="Times New Roman"/>
          <w:b/>
          <w:sz w:val="24"/>
        </w:rPr>
        <w:t xml:space="preserve">FR2 — SQL Injection &amp; Piggyback Defense: </w:t>
      </w:r>
      <w:r>
        <w:rPr>
          <w:rFonts w:ascii="Times New Roman" w:hAnsi="Times New Roman"/>
          <w:sz w:val="24"/>
        </w:rPr>
        <w:t>The proxy must inspect statements against multi-statement delimiters, tautology injections ('1'='1', 'or ''=''), and union injections, rejecting malicious queries with HTTP 403 before database routing.</w:t>
      </w:r>
    </w:p>
    <w:p>
      <w:pPr>
        <w:pStyle w:val="ListBullet"/>
        <w:spacing w:line="276" w:lineRule="auto" w:after="80"/>
        <w:jc w:val="both"/>
      </w:pPr>
      <w:r>
        <w:rPr>
          <w:rFonts w:ascii="Times New Roman" w:hAnsi="Times New Roman"/>
          <w:b/>
          <w:sz w:val="24"/>
        </w:rPr>
        <w:t xml:space="preserve">FR3 — Continuous Triangulation Risk Assessment: </w:t>
      </w:r>
      <w:r>
        <w:rPr>
          <w:rFonts w:ascii="Times New Roman" w:hAnsi="Times New Roman"/>
          <w:sz w:val="24"/>
        </w:rPr>
        <w:t>The proxy must compute subpopulation similarity using table matching S_table, column Jaccard distance J_c, and predicate interval overlap J_p, combined with exponential time decay e^(-λΔt), producing a bounded continuous risk metric r(u, q) in [0, 1).</w:t>
      </w:r>
    </w:p>
    <w:p>
      <w:pPr>
        <w:pStyle w:val="ListBullet"/>
        <w:spacing w:line="276" w:lineRule="auto" w:after="80"/>
        <w:jc w:val="both"/>
      </w:pPr>
      <w:r>
        <w:rPr>
          <w:rFonts w:ascii="Times New Roman" w:hAnsi="Times New Roman"/>
          <w:b/>
          <w:sz w:val="24"/>
        </w:rPr>
        <w:t xml:space="preserve">FR4 — Dynamic Risk-to-ε Coupling: </w:t>
      </w:r>
      <w:r>
        <w:rPr>
          <w:rFonts w:ascii="Times New Roman" w:hAnsi="Times New Roman"/>
          <w:sz w:val="24"/>
        </w:rPr>
        <w:t>The proxy must dynamically scale query privacy budgets via ε_eff(u, q) = max(ε_min, ε_role · (1 - r(u, q))^γ), calibrating Laplace noise scale b = Δf / ε_eff.</w:t>
      </w:r>
    </w:p>
    <w:p>
      <w:pPr>
        <w:pStyle w:val="ListBullet"/>
        <w:spacing w:line="276" w:lineRule="auto" w:after="80"/>
        <w:jc w:val="both"/>
      </w:pPr>
      <w:r>
        <w:rPr>
          <w:rFonts w:ascii="Times New Roman" w:hAnsi="Times New Roman"/>
          <w:b/>
          <w:sz w:val="24"/>
        </w:rPr>
        <w:t xml:space="preserve">FR5 — Non-Leaking Graceful Degradation Schedule: </w:t>
      </w:r>
      <w:r>
        <w:rPr>
          <w:rFonts w:ascii="Times New Roman" w:hAnsi="Times New Roman"/>
          <w:sz w:val="24"/>
        </w:rPr>
        <w:t>When a user's session budget is exhausted or triangulation risk breaches the critical threshold (r ≥ 0.85), the proxy must execute the query under maximum noise perturbation (ε_min = 0.05) with degraded_mode: true rather than denying execution.</w:t>
      </w:r>
    </w:p>
    <w:p>
      <w:pPr>
        <w:pStyle w:val="ListBullet"/>
        <w:spacing w:line="276" w:lineRule="auto" w:after="80"/>
        <w:jc w:val="both"/>
      </w:pPr>
      <w:r>
        <w:rPr>
          <w:rFonts w:ascii="Times New Roman" w:hAnsi="Times New Roman"/>
          <w:b/>
          <w:sz w:val="24"/>
        </w:rPr>
        <w:t xml:space="preserve">FR6 — Sequential Privacy Composition Accounting: </w:t>
      </w:r>
      <w:r>
        <w:rPr>
          <w:rFonts w:ascii="Times New Roman" w:hAnsi="Times New Roman"/>
          <w:sz w:val="24"/>
        </w:rPr>
        <w:t>The proxy must deduct actual consumed privacy loss ε_eff from the user's role budget ceiling (Admin: 20.0, Researcher: 10.0, Guest: 2.0) and persist complete query metadata in SQLite.</w:t>
      </w:r>
    </w:p>
    <w:p>
      <w:pPr>
        <w:pStyle w:val="ListBullet"/>
        <w:spacing w:line="276" w:lineRule="auto" w:after="80"/>
        <w:jc w:val="both"/>
      </w:pPr>
      <w:r>
        <w:rPr>
          <w:rFonts w:ascii="Times New Roman" w:hAnsi="Times New Roman"/>
          <w:b/>
          <w:sz w:val="24"/>
        </w:rPr>
        <w:t xml:space="preserve">FR7 — Real-Time Transparency Telemetry: </w:t>
      </w:r>
      <w:r>
        <w:rPr>
          <w:rFonts w:ascii="Times New Roman" w:hAnsi="Times New Roman"/>
          <w:sz w:val="24"/>
        </w:rPr>
        <w:t>The proxy must return comprehensive diagnostic metadata with every response, including risk_score, effective_epsilon, noise_scale, degraded_mode, and subpopulation_overlap breakdown.</w:t>
      </w:r>
    </w:p>
    <w:p>
      <w:pPr>
        <w:spacing w:before="200" w:after="80" w:line="360" w:lineRule="auto"/>
      </w:pPr>
      <w:r>
        <w:rPr>
          <w:rFonts w:ascii="Times New Roman" w:hAnsi="Times New Roman"/>
          <w:b/>
          <w:i/>
          <w:color w:val="000000"/>
          <w:sz w:val="24"/>
        </w:rPr>
        <w:t>3.1.2 Non-Functional Requirements</w:t>
      </w:r>
    </w:p>
    <w:p>
      <w:pPr>
        <w:pStyle w:val="ListBullet"/>
        <w:spacing w:line="276" w:lineRule="auto" w:after="80"/>
        <w:jc w:val="both"/>
      </w:pPr>
      <w:r>
        <w:rPr>
          <w:rFonts w:ascii="Times New Roman" w:hAnsi="Times New Roman"/>
          <w:b/>
          <w:sz w:val="24"/>
        </w:rPr>
        <w:t xml:space="preserve">NFR1 — Performance &amp; Execution Latency: </w:t>
      </w:r>
      <w:r>
        <w:rPr>
          <w:rFonts w:ascii="Times New Roman" w:hAnsi="Times New Roman"/>
          <w:sz w:val="24"/>
        </w:rPr>
        <w:t>The complete middleware security pipeline (AST parsing, risk estimation, coupling, and Laplace noise addition) must execute with an average latency overhead of less than 15.0 milliseconds per query (empirically achieved: ~2.59 ms).</w:t>
      </w:r>
    </w:p>
    <w:p>
      <w:pPr>
        <w:pStyle w:val="ListBullet"/>
        <w:spacing w:line="276" w:lineRule="auto" w:after="80"/>
        <w:jc w:val="both"/>
      </w:pPr>
      <w:r>
        <w:rPr>
          <w:rFonts w:ascii="Times New Roman" w:hAnsi="Times New Roman"/>
          <w:b/>
          <w:sz w:val="24"/>
        </w:rPr>
        <w:t xml:space="preserve">NFR2 — Mathematical Privacy Guarantees: </w:t>
      </w:r>
      <w:r>
        <w:rPr>
          <w:rFonts w:ascii="Times New Roman" w:hAnsi="Times New Roman"/>
          <w:sz w:val="24"/>
        </w:rPr>
        <w:t>The perturbation mechanism must strictly adhere to ε-differential privacy, satisfying Pr[M(D) ∈ S] ≤ exp(ε) · Pr[M(D') ∈ S] for all neighboring datasets differing by at most one individual record.</w:t>
      </w:r>
    </w:p>
    <w:p>
      <w:pPr>
        <w:pStyle w:val="ListBullet"/>
        <w:spacing w:line="276" w:lineRule="auto" w:after="80"/>
        <w:jc w:val="both"/>
      </w:pPr>
      <w:r>
        <w:rPr>
          <w:rFonts w:ascii="Times New Roman" w:hAnsi="Times New Roman"/>
          <w:b/>
          <w:sz w:val="24"/>
        </w:rPr>
        <w:t xml:space="preserve">NFR3 — Robustness &amp; Reliability: </w:t>
      </w:r>
      <w:r>
        <w:rPr>
          <w:rFonts w:ascii="Times New Roman" w:hAnsi="Times New Roman"/>
          <w:sz w:val="24"/>
        </w:rPr>
        <w:t>The proxy must incorporate fail-safe exception handling, gracefully trapping PostgreSQL disconnects, syntax errors, and malformed requests without terminating the background middleware process.</w:t>
      </w:r>
    </w:p>
    <w:p>
      <w:pPr>
        <w:pStyle w:val="ListBullet"/>
        <w:spacing w:line="276" w:lineRule="auto" w:after="80"/>
        <w:jc w:val="both"/>
      </w:pPr>
      <w:r>
        <w:rPr>
          <w:rFonts w:ascii="Times New Roman" w:hAnsi="Times New Roman"/>
          <w:b/>
          <w:sz w:val="24"/>
        </w:rPr>
        <w:t xml:space="preserve">NFR4 — Security &amp; Principle of Least Privilege: </w:t>
      </w:r>
      <w:r>
        <w:rPr>
          <w:rFonts w:ascii="Times New Roman" w:hAnsi="Times New Roman"/>
          <w:sz w:val="24"/>
        </w:rPr>
        <w:t>Non-administrative roles must be strictly confined to read-only SELECT queries; any attempt to execute DDL/DML statements (INSERT, UPDATE, DELETE, DROP) must be blocked immediately.</w:t>
      </w:r>
    </w:p>
    <w:p>
      <w:pPr>
        <w:pStyle w:val="ListBullet"/>
        <w:spacing w:line="276" w:lineRule="auto" w:after="80"/>
        <w:jc w:val="both"/>
      </w:pPr>
      <w:r>
        <w:rPr>
          <w:rFonts w:ascii="Times New Roman" w:hAnsi="Times New Roman"/>
          <w:b/>
          <w:sz w:val="24"/>
        </w:rPr>
        <w:t xml:space="preserve">NFR5 — Usability &amp; Observability: </w:t>
      </w:r>
      <w:r>
        <w:rPr>
          <w:rFonts w:ascii="Times New Roman" w:hAnsi="Times New Roman"/>
          <w:sz w:val="24"/>
        </w:rPr>
        <w:t>The proxy must expose an intuitive browser-based telemetry dashboard and OpenAPI-compliant Swagger explorer, enabling real-time visual inspection of triangulation risk and budget consumption.</w:t>
      </w:r>
    </w:p>
    <w:p>
      <w:pPr>
        <w:spacing w:before="280" w:after="120" w:line="360" w:lineRule="auto"/>
      </w:pPr>
      <w:r>
        <w:rPr>
          <w:rFonts w:ascii="Times New Roman" w:hAnsi="Times New Roman"/>
          <w:b/>
          <w:color w:val="000000"/>
          <w:sz w:val="26"/>
        </w:rPr>
        <w:t>3.2 Feasibility Study</w:t>
      </w:r>
    </w:p>
    <w:p>
      <w:pPr>
        <w:spacing w:before="200" w:after="80" w:line="360" w:lineRule="auto"/>
      </w:pPr>
      <w:r>
        <w:rPr>
          <w:rFonts w:ascii="Times New Roman" w:hAnsi="Times New Roman"/>
          <w:b/>
          <w:i/>
          <w:color w:val="000000"/>
          <w:sz w:val="24"/>
        </w:rPr>
        <w:t>3.2.1 Technical Feasibility</w:t>
      </w:r>
    </w:p>
    <w:p>
      <w:pPr>
        <w:spacing w:line="276" w:lineRule="auto" w:after="120"/>
        <w:jc w:val="both"/>
      </w:pPr>
      <w:r>
        <w:rPr>
          <w:rFonts w:ascii="Times New Roman" w:hAnsi="Times New Roman"/>
          <w:color w:val="000000"/>
          <w:sz w:val="24"/>
        </w:rPr>
        <w:t>The project is technically highly feasible. It builds on mature, production-proven open-source technologies: Python 3.12, FastAPI (high-performance asynchronous web framework based on Starlette/Uvicorn), sqlparse for lexical and syntactic SQL tokenization, diffprivlib (IBM Differential Privacy Library) for calibrated Laplace mechanisms, and psycopg2 for high-throughput PostgreSQL communication. The mathematical risk signal relies on computationally efficient set operations (Jaccard similarity) and closed-form exponential decay, keeping CPU overhead under 3 milliseconds.</w:t>
      </w:r>
    </w:p>
    <w:p>
      <w:pPr>
        <w:spacing w:before="200" w:after="80" w:line="360" w:lineRule="auto"/>
      </w:pPr>
      <w:r>
        <w:rPr>
          <w:rFonts w:ascii="Times New Roman" w:hAnsi="Times New Roman"/>
          <w:b/>
          <w:i/>
          <w:color w:val="000000"/>
          <w:sz w:val="24"/>
        </w:rPr>
        <w:t>3.2.2 Economic Feasibility</w:t>
      </w:r>
    </w:p>
    <w:p>
      <w:pPr>
        <w:spacing w:line="276" w:lineRule="auto" w:after="120"/>
        <w:jc w:val="both"/>
      </w:pPr>
      <w:r>
        <w:rPr>
          <w:rFonts w:ascii="Times New Roman" w:hAnsi="Times New Roman"/>
          <w:color w:val="000000"/>
          <w:sz w:val="24"/>
        </w:rPr>
        <w:t>The economic feasibility is outstanding. The entire AP3 stack is engineered using permissive open-source software (MIT, BSD, Apache 2.0, PostgreSQL licenses) with zero commercial licensing overhead. The proxy operates as a lightweight stateless middleware container that can be deployed on standard commodity cloud instances or on-premises servers without dedicated GPU acceleration, significantly reducing total cost of ownership (TCO) while preventing costly regulatory data breach fines (e.g., GDPR, HIPAA compliance violations).</w:t>
      </w:r>
    </w:p>
    <w:p>
      <w:pPr>
        <w:spacing w:before="200" w:after="80" w:line="360" w:lineRule="auto"/>
      </w:pPr>
      <w:r>
        <w:rPr>
          <w:rFonts w:ascii="Times New Roman" w:hAnsi="Times New Roman"/>
          <w:b/>
          <w:i/>
          <w:color w:val="000000"/>
          <w:sz w:val="24"/>
        </w:rPr>
        <w:t>3.2.3 Social Feasibility &amp; Ethical Impact</w:t>
      </w:r>
    </w:p>
    <w:p>
      <w:pPr>
        <w:spacing w:line="276" w:lineRule="auto" w:after="120"/>
        <w:jc w:val="both"/>
      </w:pPr>
      <w:r>
        <w:rPr>
          <w:rFonts w:ascii="Times New Roman" w:hAnsi="Times New Roman"/>
          <w:color w:val="000000"/>
          <w:sz w:val="24"/>
        </w:rPr>
        <w:t>From a societal perspective, AP3 addresses the urgent ethical imperative of protecting individual civil liberties and privacy in the big data era. By allowing data researchers and healthcare analysts to extract vital aggregate trends without risking individual de-anonymization, AP3 directly supports UN Sustainable Development Goal 9 (Industry, Innovation &amp; Infrastructure) and Goal 16 (Peace, Justice &amp; Strong Institutions). Furthermore, the interactive dashboard ensures algorithmic transparency by explaining privacy loss to end users.</w:t>
      </w:r>
    </w:p>
    <w:p>
      <w:pPr>
        <w:spacing w:before="280" w:after="120" w:line="360" w:lineRule="auto"/>
      </w:pPr>
      <w:r>
        <w:rPr>
          <w:rFonts w:ascii="Times New Roman" w:hAnsi="Times New Roman"/>
          <w:b/>
          <w:color w:val="000000"/>
          <w:sz w:val="26"/>
        </w:rPr>
        <w:t>3.3 System Specification</w:t>
      </w:r>
    </w:p>
    <w:p>
      <w:pPr>
        <w:spacing w:before="200" w:after="80" w:line="360" w:lineRule="auto"/>
      </w:pPr>
      <w:r>
        <w:rPr>
          <w:rFonts w:ascii="Times New Roman" w:hAnsi="Times New Roman"/>
          <w:b/>
          <w:i/>
          <w:color w:val="000000"/>
          <w:sz w:val="24"/>
        </w:rPr>
        <w:t>3.3.1 Hardware Specification</w:t>
      </w:r>
    </w:p>
    <w:p>
      <w:pPr>
        <w:pStyle w:val="ListBullet"/>
        <w:spacing w:line="276" w:lineRule="auto" w:after="80"/>
        <w:jc w:val="both"/>
      </w:pPr>
      <w:r>
        <w:rPr>
          <w:rFonts w:ascii="Times New Roman" w:hAnsi="Times New Roman"/>
          <w:b/>
          <w:sz w:val="24"/>
        </w:rPr>
        <w:t xml:space="preserve">Host Processor: </w:t>
      </w:r>
      <w:r>
        <w:rPr>
          <w:rFonts w:ascii="Times New Roman" w:hAnsi="Times New Roman"/>
          <w:sz w:val="24"/>
        </w:rPr>
        <w:t>Intel Core i5 / i7 (11th Gen or higher) or AMD Ryzen 5 / 7 (4 cores minimum, 2.4 GHz base).</w:t>
      </w:r>
    </w:p>
    <w:p>
      <w:pPr>
        <w:pStyle w:val="ListBullet"/>
        <w:spacing w:line="276" w:lineRule="auto" w:after="80"/>
        <w:jc w:val="both"/>
      </w:pPr>
      <w:r>
        <w:rPr>
          <w:rFonts w:ascii="Times New Roman" w:hAnsi="Times New Roman"/>
          <w:b/>
          <w:sz w:val="24"/>
        </w:rPr>
        <w:t xml:space="preserve">System Memory (RAM): </w:t>
      </w:r>
      <w:r>
        <w:rPr>
          <w:rFonts w:ascii="Times New Roman" w:hAnsi="Times New Roman"/>
          <w:sz w:val="24"/>
        </w:rPr>
        <w:t>8 GB minimum (16 GB recommended for concurrent query load).</w:t>
      </w:r>
    </w:p>
    <w:p>
      <w:pPr>
        <w:pStyle w:val="ListBullet"/>
        <w:spacing w:line="276" w:lineRule="auto" w:after="80"/>
        <w:jc w:val="both"/>
      </w:pPr>
      <w:r>
        <w:rPr>
          <w:rFonts w:ascii="Times New Roman" w:hAnsi="Times New Roman"/>
          <w:b/>
          <w:sz w:val="24"/>
        </w:rPr>
        <w:t xml:space="preserve">Storage Subsystem: </w:t>
      </w:r>
      <w:r>
        <w:rPr>
          <w:rFonts w:ascii="Times New Roman" w:hAnsi="Times New Roman"/>
          <w:sz w:val="24"/>
        </w:rPr>
        <w:t>512 GB NVMe SSD (minimum 500 MB/s sequential read/write for database transaction logging).</w:t>
      </w:r>
    </w:p>
    <w:p>
      <w:pPr>
        <w:pStyle w:val="ListBullet"/>
        <w:spacing w:line="276" w:lineRule="auto" w:after="80"/>
        <w:jc w:val="both"/>
      </w:pPr>
      <w:r>
        <w:rPr>
          <w:rFonts w:ascii="Times New Roman" w:hAnsi="Times New Roman"/>
          <w:b/>
          <w:sz w:val="24"/>
        </w:rPr>
        <w:t xml:space="preserve">Network Interface: </w:t>
      </w:r>
      <w:r>
        <w:rPr>
          <w:rFonts w:ascii="Times New Roman" w:hAnsi="Times New Roman"/>
          <w:sz w:val="24"/>
        </w:rPr>
        <w:t>Gigabit Ethernet / Wi-Fi 6 (1 Gbps) for low-latency client-proxy-database communication.</w:t>
      </w:r>
    </w:p>
    <w:p>
      <w:pPr>
        <w:spacing w:before="200" w:after="80" w:line="360" w:lineRule="auto"/>
      </w:pPr>
      <w:r>
        <w:rPr>
          <w:rFonts w:ascii="Times New Roman" w:hAnsi="Times New Roman"/>
          <w:b/>
          <w:i/>
          <w:color w:val="000000"/>
          <w:sz w:val="24"/>
        </w:rPr>
        <w:t>3.3.2 Software Specification</w:t>
      </w:r>
    </w:p>
    <w:p>
      <w:pPr>
        <w:pStyle w:val="ListBullet"/>
        <w:spacing w:line="276" w:lineRule="auto" w:after="80"/>
        <w:jc w:val="both"/>
      </w:pPr>
      <w:r>
        <w:rPr>
          <w:rFonts w:ascii="Times New Roman" w:hAnsi="Times New Roman"/>
          <w:b/>
          <w:sz w:val="24"/>
        </w:rPr>
        <w:t xml:space="preserve">Operating System: </w:t>
      </w:r>
      <w:r>
        <w:rPr>
          <w:rFonts w:ascii="Times New Roman" w:hAnsi="Times New Roman"/>
          <w:sz w:val="24"/>
        </w:rPr>
        <w:t>Microsoft Windows 11 / Ubuntu 22.04 LTS Linux.</w:t>
      </w:r>
    </w:p>
    <w:p>
      <w:pPr>
        <w:pStyle w:val="ListBullet"/>
        <w:spacing w:line="276" w:lineRule="auto" w:after="80"/>
        <w:jc w:val="both"/>
      </w:pPr>
      <w:r>
        <w:rPr>
          <w:rFonts w:ascii="Times New Roman" w:hAnsi="Times New Roman"/>
          <w:b/>
          <w:sz w:val="24"/>
        </w:rPr>
        <w:t xml:space="preserve">Programming Language: </w:t>
      </w:r>
      <w:r>
        <w:rPr>
          <w:rFonts w:ascii="Times New Roman" w:hAnsi="Times New Roman"/>
          <w:sz w:val="24"/>
        </w:rPr>
        <w:t>Python 3.12.x 64-bit runtime environment.</w:t>
      </w:r>
    </w:p>
    <w:p>
      <w:pPr>
        <w:pStyle w:val="ListBullet"/>
        <w:spacing w:line="276" w:lineRule="auto" w:after="80"/>
        <w:jc w:val="both"/>
      </w:pPr>
      <w:r>
        <w:rPr>
          <w:rFonts w:ascii="Times New Roman" w:hAnsi="Times New Roman"/>
          <w:b/>
          <w:sz w:val="24"/>
        </w:rPr>
        <w:t xml:space="preserve">Web Middleware Framework: </w:t>
      </w:r>
      <w:r>
        <w:rPr>
          <w:rFonts w:ascii="Times New Roman" w:hAnsi="Times New Roman"/>
          <w:sz w:val="24"/>
        </w:rPr>
        <w:t>FastAPI 0.115+ with Uvicorn ASGI production server.</w:t>
      </w:r>
    </w:p>
    <w:p>
      <w:pPr>
        <w:pStyle w:val="ListBullet"/>
        <w:spacing w:line="276" w:lineRule="auto" w:after="80"/>
        <w:jc w:val="both"/>
      </w:pPr>
      <w:r>
        <w:rPr>
          <w:rFonts w:ascii="Times New Roman" w:hAnsi="Times New Roman"/>
          <w:b/>
          <w:sz w:val="24"/>
        </w:rPr>
        <w:t xml:space="preserve">Relational Database Backend: </w:t>
      </w:r>
      <w:r>
        <w:rPr>
          <w:rFonts w:ascii="Times New Roman" w:hAnsi="Times New Roman"/>
          <w:sz w:val="24"/>
        </w:rPr>
        <w:t>PostgreSQL 16.x relational database server.</w:t>
      </w:r>
    </w:p>
    <w:p>
      <w:pPr>
        <w:pStyle w:val="ListBullet"/>
        <w:spacing w:line="276" w:lineRule="auto" w:after="80"/>
        <w:jc w:val="both"/>
      </w:pPr>
      <w:r>
        <w:rPr>
          <w:rFonts w:ascii="Times New Roman" w:hAnsi="Times New Roman"/>
          <w:b/>
          <w:sz w:val="24"/>
        </w:rPr>
        <w:t xml:space="preserve">Audit Persistence Store: </w:t>
      </w:r>
      <w:r>
        <w:rPr>
          <w:rFonts w:ascii="Times New Roman" w:hAnsi="Times New Roman"/>
          <w:sz w:val="24"/>
        </w:rPr>
        <w:t>SQLite 3.x embedded local database engine.</w:t>
      </w:r>
    </w:p>
    <w:p>
      <w:pPr>
        <w:pStyle w:val="ListBullet"/>
        <w:spacing w:line="276" w:lineRule="auto" w:after="80"/>
        <w:jc w:val="both"/>
      </w:pPr>
      <w:r>
        <w:rPr>
          <w:rFonts w:ascii="Times New Roman" w:hAnsi="Times New Roman"/>
          <w:b/>
          <w:sz w:val="24"/>
        </w:rPr>
        <w:t xml:space="preserve">Differential Privacy Engine: </w:t>
      </w:r>
      <w:r>
        <w:rPr>
          <w:rFonts w:ascii="Times New Roman" w:hAnsi="Times New Roman"/>
          <w:sz w:val="24"/>
        </w:rPr>
        <w:t>IBM diffprivlib 0.6.x (Laplace Mechanism).</w:t>
      </w:r>
    </w:p>
    <w:p>
      <w:pPr>
        <w:pStyle w:val="ListBullet"/>
        <w:spacing w:line="276" w:lineRule="auto" w:after="80"/>
        <w:jc w:val="both"/>
      </w:pPr>
      <w:r>
        <w:rPr>
          <w:rFonts w:ascii="Times New Roman" w:hAnsi="Times New Roman"/>
          <w:b/>
          <w:sz w:val="24"/>
        </w:rPr>
        <w:t xml:space="preserve">SQL Parsing Library: </w:t>
      </w:r>
      <w:r>
        <w:rPr>
          <w:rFonts w:ascii="Times New Roman" w:hAnsi="Times New Roman"/>
          <w:sz w:val="24"/>
        </w:rPr>
        <w:t>sqlparse 0.5.x lexical and AST parser.</w:t>
      </w:r>
    </w:p>
    <w:p>
      <w:pPr>
        <w:pStyle w:val="ListBullet"/>
        <w:spacing w:line="276" w:lineRule="auto" w:after="80"/>
        <w:jc w:val="both"/>
      </w:pPr>
      <w:r>
        <w:rPr>
          <w:rFonts w:ascii="Times New Roman" w:hAnsi="Times New Roman"/>
          <w:b/>
          <w:sz w:val="24"/>
        </w:rPr>
        <w:t xml:space="preserve">Database Driver: </w:t>
      </w:r>
      <w:r>
        <w:rPr>
          <w:rFonts w:ascii="Times New Roman" w:hAnsi="Times New Roman"/>
          <w:sz w:val="24"/>
        </w:rPr>
        <w:t>psycopg2-binary 2.9.x for PostgreSQL protocol interaction.</w:t>
      </w:r>
    </w:p>
    <w:p>
      <w:r>
        <w:br w:type="page"/>
      </w:r>
    </w:p>
    <w:p>
      <w:pPr>
        <w:spacing w:before="360" w:after="160" w:line="360" w:lineRule="auto"/>
      </w:pPr>
      <w:r>
        <w:rPr>
          <w:rFonts w:ascii="Times New Roman" w:hAnsi="Times New Roman"/>
          <w:b/>
          <w:color w:val="000000"/>
          <w:sz w:val="28"/>
        </w:rPr>
        <w:t>4. DESIGN APPROACH AND DETAILS</w:t>
      </w:r>
    </w:p>
    <w:p>
      <w:pPr>
        <w:spacing w:before="280" w:after="120" w:line="360" w:lineRule="auto"/>
      </w:pPr>
      <w:r>
        <w:rPr>
          <w:rFonts w:ascii="Times New Roman" w:hAnsi="Times New Roman"/>
          <w:b/>
          <w:color w:val="000000"/>
          <w:sz w:val="26"/>
        </w:rPr>
        <w:t>4.1 System Architecture</w:t>
      </w:r>
    </w:p>
    <w:p>
      <w:pPr>
        <w:spacing w:line="276" w:lineRule="auto" w:after="120"/>
        <w:jc w:val="both"/>
      </w:pPr>
      <w:r>
        <w:rPr>
          <w:rFonts w:ascii="Times New Roman" w:hAnsi="Times New Roman"/>
          <w:color w:val="000000"/>
          <w:sz w:val="24"/>
        </w:rPr>
        <w:t>AP3 is architected as an intelligent, non-intrusive middleware proxy positioned between client analytics applications and the relational database management system. Figure 4.1 illustrates the five-layer architectural decomposition of the AP3 proxy pipeline.</w:t>
      </w:r>
    </w:p>
    <w:p>
      <w:pPr>
        <w:pStyle w:val="ListBullet"/>
        <w:spacing w:line="276" w:lineRule="auto" w:after="80"/>
        <w:jc w:val="both"/>
      </w:pPr>
      <w:r>
        <w:rPr>
          <w:rFonts w:ascii="Times New Roman" w:hAnsi="Times New Roman"/>
          <w:b/>
          <w:sz w:val="24"/>
        </w:rPr>
        <w:t xml:space="preserve">Layer 1 — Client &amp; Presentation Interface: </w:t>
      </w:r>
      <w:r>
        <w:rPr>
          <w:rFonts w:ascii="Times New Roman" w:hAnsi="Times New Roman"/>
          <w:sz w:val="24"/>
        </w:rPr>
        <w:t>Provides two complementary interfaces: (1) an interactive visual telemetry playground (web/index.html) featuring animated gauges for r(u, q), ε_eff, and noise scale b; and (2) a customized dark-mode OpenAPI Swagger explorer (/docs) detailing the 4-step first-time explorer workflow.</w:t>
      </w:r>
    </w:p>
    <w:p>
      <w:pPr>
        <w:pStyle w:val="ListBullet"/>
        <w:spacing w:line="276" w:lineRule="auto" w:after="80"/>
        <w:jc w:val="both"/>
      </w:pPr>
      <w:r>
        <w:rPr>
          <w:rFonts w:ascii="Times New Roman" w:hAnsi="Times New Roman"/>
          <w:b/>
          <w:sz w:val="24"/>
        </w:rPr>
        <w:t xml:space="preserve">Layer 2 — Gateway &amp; Proxy Middleware Orchestrator: </w:t>
      </w:r>
      <w:r>
        <w:rPr>
          <w:rFonts w:ascii="Times New Roman" w:hAnsi="Times New Roman"/>
          <w:sz w:val="24"/>
        </w:rPr>
        <w:t>Implemented in middleware/proxy.py and main.py via FastAPI. Intercepts incoming HTTP query payloads, manages session context, extracts user authorization, and orchestrates the security verification pipeline.</w:t>
      </w:r>
    </w:p>
    <w:p>
      <w:pPr>
        <w:pStyle w:val="ListBullet"/>
        <w:spacing w:line="276" w:lineRule="auto" w:after="80"/>
        <w:jc w:val="both"/>
      </w:pPr>
      <w:r>
        <w:rPr>
          <w:rFonts w:ascii="Times New Roman" w:hAnsi="Times New Roman"/>
          <w:b/>
          <w:sz w:val="24"/>
        </w:rPr>
        <w:t xml:space="preserve">Layer 3 — Security &amp; Intelligence Core: </w:t>
      </w:r>
      <w:r>
        <w:rPr>
          <w:rFonts w:ascii="Times New Roman" w:hAnsi="Times New Roman"/>
          <w:sz w:val="24"/>
        </w:rPr>
        <w:t>Contains four specialized analytical engines:</w:t>
        <w:br/>
        <w:t>• Query Analyzer (core/query_analyzer.py): Deconstructs SQL into AST tokens, detects injection patterns, and extracts normalized WHERE predicates.</w:t>
        <w:br/>
        <w:t>• Triangulation Tracker (core/inference_tracker.py): Evaluates historical subpopulation overlap and computes the live time-decayed risk signal r(u, q) in [0, 1).</w:t>
        <w:br/>
        <w:t>• DP Coupling Engine (core/differential_privacy.py): Computes dynamic coupling ε_eff = ε_role · (1 - r)^γ and calibrates the Laplace noise parameter b.</w:t>
        <w:br/>
        <w:t>• ABAC Budget Manager (core/abac.py): Enforces role privacy budget limits and enables non-leaking degradation clamping when budget is depleted.</w:t>
      </w:r>
    </w:p>
    <w:p>
      <w:pPr>
        <w:pStyle w:val="ListBullet"/>
        <w:spacing w:line="276" w:lineRule="auto" w:after="80"/>
        <w:jc w:val="both"/>
      </w:pPr>
      <w:r>
        <w:rPr>
          <w:rFonts w:ascii="Times New Roman" w:hAnsi="Times New Roman"/>
          <w:b/>
          <w:sz w:val="24"/>
        </w:rPr>
        <w:t xml:space="preserve">Layer 4 — Data Execution &amp; DP Perturbation: </w:t>
      </w:r>
      <w:r>
        <w:rPr>
          <w:rFonts w:ascii="Times New Roman" w:hAnsi="Times New Roman"/>
          <w:sz w:val="24"/>
        </w:rPr>
        <w:t>Executes verified SQL statements on PostgreSQL via psycopg2 (db/postgres.py) and applies calibrated Laplace perturbation across aggregate numeric output fields.</w:t>
      </w:r>
    </w:p>
    <w:p>
      <w:pPr>
        <w:pStyle w:val="ListBullet"/>
        <w:spacing w:line="276" w:lineRule="auto" w:after="80"/>
        <w:jc w:val="both"/>
      </w:pPr>
      <w:r>
        <w:rPr>
          <w:rFonts w:ascii="Times New Roman" w:hAnsi="Times New Roman"/>
          <w:b/>
          <w:sz w:val="24"/>
        </w:rPr>
        <w:t xml:space="preserve">Layer 5 — Audit &amp; Persistence Layer: </w:t>
      </w:r>
      <w:r>
        <w:rPr>
          <w:rFonts w:ascii="Times New Roman" w:hAnsi="Times New Roman"/>
          <w:sz w:val="24"/>
        </w:rPr>
        <w:t>Maintains an append-only audit trail in SQLite (db/history_store.py) recording query text, normalized predicates, risk scores r(u, q), consumed ε_eff, and millisecond timestamps.</w:t>
      </w:r>
    </w:p>
    <w:p>
      <w:pPr>
        <w:spacing w:before="280" w:after="120" w:line="360" w:lineRule="auto"/>
      </w:pPr>
      <w:r>
        <w:rPr>
          <w:rFonts w:ascii="Times New Roman" w:hAnsi="Times New Roman"/>
          <w:b/>
          <w:color w:val="000000"/>
          <w:sz w:val="26"/>
        </w:rPr>
        <w:t>4.2 Design &amp; Modeling</w:t>
      </w:r>
    </w:p>
    <w:p>
      <w:pPr>
        <w:spacing w:before="200" w:after="80" w:line="360" w:lineRule="auto"/>
      </w:pPr>
      <w:r>
        <w:rPr>
          <w:rFonts w:ascii="Times New Roman" w:hAnsi="Times New Roman"/>
          <w:b/>
          <w:i/>
          <w:color w:val="000000"/>
          <w:sz w:val="24"/>
        </w:rPr>
        <w:t>4.2.1 Data Flow Diagrams (DFD Level 0 &amp; Level 1)</w:t>
      </w:r>
    </w:p>
    <w:p>
      <w:pPr>
        <w:spacing w:line="276" w:lineRule="auto" w:after="120"/>
        <w:jc w:val="both"/>
      </w:pPr>
      <w:r>
        <w:rPr>
          <w:rFonts w:ascii="Times New Roman" w:hAnsi="Times New Roman"/>
          <w:color w:val="000000"/>
          <w:sz w:val="24"/>
        </w:rPr>
        <w:t>In Level 0 (Context Diagram), the client sends a raw SQL query and user credentials to the AP3 Proxy. The proxy interacts with PostgreSQL to retrieve true tabular data, checks historical query state from the SQLite History Store, and returns differentially private, sanitized results with real-time privacy telemetry.</w:t>
      </w:r>
    </w:p>
    <w:p>
      <w:pPr>
        <w:spacing w:line="276" w:lineRule="auto" w:after="120"/>
        <w:jc w:val="both"/>
      </w:pPr>
      <w:r>
        <w:rPr>
          <w:rFonts w:ascii="Times New Roman" w:hAnsi="Times New Roman"/>
          <w:color w:val="000000"/>
          <w:sz w:val="24"/>
        </w:rPr>
        <w:t>In Level 1 (Detailed Data Flow), processing proceeds through distinct modular steps:</w:t>
        <w:br/>
        <w:t>1. Process 1.0 (Parse &amp; Validate): sqlparse decomposes the query into AST nodes. Malicious piggyback or tautology statements are aborted with HTTP 403.</w:t>
        <w:br/>
        <w:t>2. Process 2.0 (Triangulation Tracking): Historical queries on the target table are retrieved from SQLite. Overlap Jaccard similarity and exponential time decay yield r(u, q).</w:t>
        <w:br/>
        <w:t>3. Process 3.0 (Coupling &amp; Degradation): Dynamic effective budget ε_eff is calibrated. If budget is depleted or r ≥ 0.85, degraded mode is activated (ε → ε_min).</w:t>
        <w:br/>
        <w:t>4. Process 4.0 (Database Execution &amp; DP Noise): The raw query runs on PostgreSQL. Laplace noise ~ Lap(Δf / ε_eff) is added to aggregate columns.</w:t>
        <w:br/>
        <w:t>5. Process 5.0 (Composition &amp; Logging): Consumed ε_eff is deducted from the user's session budget, and audit metadata is recorded in SQLite.</w:t>
      </w:r>
    </w:p>
    <w:p>
      <w:pPr>
        <w:spacing w:before="200" w:after="80" w:line="360" w:lineRule="auto"/>
      </w:pPr>
      <w:r>
        <w:rPr>
          <w:rFonts w:ascii="Times New Roman" w:hAnsi="Times New Roman"/>
          <w:b/>
          <w:i/>
          <w:color w:val="000000"/>
          <w:sz w:val="24"/>
        </w:rPr>
        <w:t>4.2.2 Use Case Modeling &amp; Actor Specifications</w:t>
      </w:r>
    </w:p>
    <w:p>
      <w:pPr>
        <w:spacing w:line="276" w:lineRule="auto" w:after="120"/>
        <w:jc w:val="both"/>
      </w:pPr>
      <w:r>
        <w:rPr>
          <w:rFonts w:ascii="Times New Roman" w:hAnsi="Times New Roman"/>
          <w:color w:val="000000"/>
          <w:sz w:val="24"/>
        </w:rPr>
        <w:t>The system models four key actors:</w:t>
        <w:br/>
        <w:t>• Data Researcher: Queries aggregate statistics for research; operates under a 10.0 ε session budget and nominal 1.0 ε per-query budget.</w:t>
        <w:br/>
        <w:t>• Guest Analyst: Casual user querying public summary data under a strict 2.0 ε lifetime budget and heavy perturbation.</w:t>
        <w:br/>
        <w:t>• Database Administrator (DBA): Exercises full administrative access (20.0 ε budget) with permissions to view audit trails and reset policies.</w:t>
        <w:br/>
        <w:t>• Adversarial Prober: Attempts targeted reconstruction attacks by firing overlapping narrow queries; automatically detected and neutralized via dynamic noise escalation.</w:t>
      </w:r>
    </w:p>
    <w:p>
      <w:pPr>
        <w:spacing w:before="200" w:after="80" w:line="360" w:lineRule="auto"/>
      </w:pPr>
      <w:r>
        <w:rPr>
          <w:rFonts w:ascii="Times New Roman" w:hAnsi="Times New Roman"/>
          <w:b/>
          <w:i/>
          <w:color w:val="000000"/>
          <w:sz w:val="24"/>
        </w:rPr>
        <w:t>4.2.3 Algorithmic Formulations &amp; Mathematical Rigor</w:t>
      </w:r>
    </w:p>
    <w:p>
      <w:pPr>
        <w:spacing w:line="276" w:lineRule="auto" w:after="120"/>
        <w:jc w:val="both"/>
      </w:pPr>
      <w:r>
        <w:rPr>
          <w:rFonts w:ascii="Times New Roman" w:hAnsi="Times New Roman"/>
          <w:color w:val="000000"/>
          <w:sz w:val="24"/>
        </w:rPr>
        <w:t>The core scientific contribution of AP3 lies in the formalization of its continuous triangulation risk signal and dynamic coupling law:</w:t>
      </w:r>
    </w:p>
    <w:p>
      <w:pPr>
        <w:pStyle w:val="ListBullet"/>
        <w:spacing w:line="276" w:lineRule="auto" w:after="80"/>
        <w:jc w:val="both"/>
      </w:pPr>
      <w:r>
        <w:rPr>
          <w:rFonts w:ascii="Times New Roman" w:hAnsi="Times New Roman"/>
          <w:b/>
          <w:sz w:val="24"/>
        </w:rPr>
        <w:t xml:space="preserve">1. Subpopulation Overlap Metric: </w:t>
      </w:r>
      <w:r>
        <w:rPr>
          <w:rFonts w:ascii="Times New Roman" w:hAnsi="Times New Roman"/>
          <w:sz w:val="24"/>
        </w:rPr>
        <w:t>For current query q and historical query q_i, overlap is formulated as a weighted convex combination:</w:t>
        <w:br/>
        <w:t>Overlap(q, q_i) = w_t · S_table(q, q_i) + w_c · J_column(C_q, C_{q_i}) + w_p · J_predicate(P_q, P_{q_i})</w:t>
        <w:br/>
        <w:t>where weights satisfy w_t + w_c + w_p = 1.0 (configured as w_t = 0.30, w_c = 0.30, w_p = 0.40). J_column and J_predicate evaluate the Jaccard similarity index |A ∩ B| / |A ∪ B| over attributes and normalized WHERE condition predicates.</w:t>
      </w:r>
    </w:p>
    <w:p>
      <w:pPr>
        <w:pStyle w:val="ListBullet"/>
        <w:spacing w:line="276" w:lineRule="auto" w:after="80"/>
        <w:jc w:val="both"/>
      </w:pPr>
      <w:r>
        <w:rPr>
          <w:rFonts w:ascii="Times New Roman" w:hAnsi="Times New Roman"/>
          <w:b/>
          <w:sz w:val="24"/>
        </w:rPr>
        <w:t xml:space="preserve">2. Exponential Temporal Decay: </w:t>
      </w:r>
      <w:r>
        <w:rPr>
          <w:rFonts w:ascii="Times New Roman" w:hAnsi="Times New Roman"/>
          <w:sz w:val="24"/>
        </w:rPr>
        <w:t>Older queries contribute less to active triangulation risk according to half-life decay: Decay(Δt) = exp(-λ · (t_current - t_i)), where λ is the decay parameter (0.0005 s^-1).</w:t>
      </w:r>
    </w:p>
    <w:p>
      <w:pPr>
        <w:pStyle w:val="ListBullet"/>
        <w:spacing w:line="276" w:lineRule="auto" w:after="80"/>
        <w:jc w:val="both"/>
      </w:pPr>
      <w:r>
        <w:rPr>
          <w:rFonts w:ascii="Times New Roman" w:hAnsi="Times New Roman"/>
          <w:b/>
          <w:sz w:val="24"/>
        </w:rPr>
        <w:t xml:space="preserve">3. Continuous Triangulation Signal r(u, q): </w:t>
      </w:r>
      <w:r>
        <w:rPr>
          <w:rFonts w:ascii="Times New Roman" w:hAnsi="Times New Roman"/>
          <w:sz w:val="24"/>
        </w:rPr>
        <w:t>Cumulative risk summation is mapped onto the continuous unit interval [0, 1) via:</w:t>
        <w:br/>
        <w:t>r(u, q) = 1 - exp(-α · ∑_{i ∈ history} Overlap(q, q_i) · exp(-λ · Δt_i))</w:t>
        <w:br/>
        <w:t>where α = 0.35 controls convergence sensitivity. As overlapping queries accumulate, r(u, q) asymptotically approaches 1.0.</w:t>
      </w:r>
    </w:p>
    <w:p>
      <w:pPr>
        <w:pStyle w:val="ListBullet"/>
        <w:spacing w:line="276" w:lineRule="auto" w:after="80"/>
        <w:jc w:val="both"/>
      </w:pPr>
      <w:r>
        <w:rPr>
          <w:rFonts w:ascii="Times New Roman" w:hAnsi="Times New Roman"/>
          <w:b/>
          <w:sz w:val="24"/>
        </w:rPr>
        <w:t xml:space="preserve">4. Risk-to-ε Dynamic Coupling Law (Objective O1): </w:t>
      </w:r>
      <w:r>
        <w:rPr>
          <w:rFonts w:ascii="Times New Roman" w:hAnsi="Times New Roman"/>
          <w:sz w:val="24"/>
        </w:rPr>
        <w:t>Effective privacy budget is coupled dynamically to live risk via:</w:t>
        <w:br/>
        <w:t>ε_eff(u, q) = max(ε_min, ε_role · (1 - r(u, q))^γ)</w:t>
        <w:br/>
        <w:t>where γ = 2.0 is the sensitivity exponent and ε_min = 0.05 is the graceful degradation floor. The Laplace noise scale parameter is calibrated as b = Δf / ε_eff.</w:t>
      </w:r>
    </w:p>
    <w:p>
      <w:pPr>
        <w:spacing w:before="200" w:after="80" w:line="360" w:lineRule="auto"/>
      </w:pPr>
      <w:r>
        <w:rPr>
          <w:rFonts w:ascii="Times New Roman" w:hAnsi="Times New Roman"/>
          <w:b/>
          <w:i/>
          <w:color w:val="000000"/>
          <w:sz w:val="24"/>
        </w:rPr>
        <w:t>4.2.4 Experimental Evaluation, Benchmarks &amp; Results (Review 2 Core)</w:t>
      </w:r>
    </w:p>
    <w:p>
      <w:pPr>
        <w:spacing w:line="276" w:lineRule="auto" w:after="120"/>
        <w:jc w:val="both"/>
      </w:pPr>
      <w:r>
        <w:rPr>
          <w:rFonts w:ascii="Times New Roman" w:hAnsi="Times New Roman"/>
          <w:color w:val="000000"/>
          <w:sz w:val="24"/>
        </w:rPr>
        <w:t>To rigorously validate Objective O4, AP3 was evaluated across three automated experimental benchmarks using scripts/eval_benchmarks.py against static hard-threshold baselines.</w:t>
      </w:r>
    </w:p>
    <w:p>
      <w:pPr>
        <w:spacing w:line="276" w:lineRule="auto" w:after="120"/>
        <w:jc w:val="both"/>
      </w:pPr>
      <w:r>
        <w:rPr>
          <w:rFonts w:ascii="Times New Roman" w:hAnsi="Times New Roman"/>
          <w:color w:val="000000"/>
          <w:sz w:val="24"/>
        </w:rPr>
        <w:t>Benchmark 1: Privacy–Utility Trade-Off Curve. Table 4.1 displays empirical Mean Absolute Error (MAE) and Root Mean Squared Error (RMSE) across 200 trials across varied ε values, validating empirical alignment with theoretical Laplace standard deviation σ = √2 · (Δf / ε).</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340"/>
            <w:shd w:val="clear" w:color="auto" w:fill="0F2B5C"/>
            <w:tcMar>
              <w:top w:w="100" w:type="dxa"/>
              <w:bottom w:w="100" w:type="dxa"/>
              <w:left w:w="100" w:type="dxa"/>
              <w:right w:w="100" w:type="dxa"/>
            </w:tcMar>
          </w:tcPr>
          <w:p>
            <w:r>
              <w:rPr>
                <w:rFonts w:ascii="Times New Roman" w:hAnsi="Times New Roman"/>
                <w:b/>
                <w:color w:val="FFFFFF"/>
                <w:sz w:val="20"/>
              </w:rPr>
              <w:t>Epsilon (ε)</w:t>
            </w:r>
          </w:p>
        </w:tc>
        <w:tc>
          <w:tcPr>
            <w:tcW w:type="dxa" w:w="2340"/>
            <w:shd w:val="clear" w:color="auto" w:fill="0F2B5C"/>
            <w:tcMar>
              <w:top w:w="100" w:type="dxa"/>
              <w:bottom w:w="100" w:type="dxa"/>
              <w:left w:w="100" w:type="dxa"/>
              <w:right w:w="100" w:type="dxa"/>
            </w:tcMar>
          </w:tcPr>
          <w:p>
            <w:r>
              <w:rPr>
                <w:rFonts w:ascii="Times New Roman" w:hAnsi="Times New Roman"/>
                <w:b/>
                <w:color w:val="FFFFFF"/>
                <w:sz w:val="20"/>
              </w:rPr>
              <w:t>Theoretical StdDev</w:t>
            </w:r>
          </w:p>
        </w:tc>
        <w:tc>
          <w:tcPr>
            <w:tcW w:type="dxa" w:w="2340"/>
            <w:shd w:val="clear" w:color="auto" w:fill="0F2B5C"/>
            <w:tcMar>
              <w:top w:w="100" w:type="dxa"/>
              <w:bottom w:w="100" w:type="dxa"/>
              <w:left w:w="100" w:type="dxa"/>
              <w:right w:w="100" w:type="dxa"/>
            </w:tcMar>
          </w:tcPr>
          <w:p>
            <w:r>
              <w:rPr>
                <w:rFonts w:ascii="Times New Roman" w:hAnsi="Times New Roman"/>
                <w:b/>
                <w:color w:val="FFFFFF"/>
                <w:sz w:val="20"/>
              </w:rPr>
              <w:t>Empirical MAE</w:t>
            </w:r>
          </w:p>
        </w:tc>
        <w:tc>
          <w:tcPr>
            <w:tcW w:type="dxa" w:w="2340"/>
            <w:shd w:val="clear" w:color="auto" w:fill="0F2B5C"/>
            <w:tcMar>
              <w:top w:w="100" w:type="dxa"/>
              <w:bottom w:w="100" w:type="dxa"/>
              <w:left w:w="100" w:type="dxa"/>
              <w:right w:w="100" w:type="dxa"/>
            </w:tcMar>
          </w:tcPr>
          <w:p>
            <w:r>
              <w:rPr>
                <w:rFonts w:ascii="Times New Roman" w:hAnsi="Times New Roman"/>
                <w:b/>
                <w:color w:val="FFFFFF"/>
                <w:sz w:val="20"/>
              </w:rPr>
              <w:t>Empirical RMSE</w:t>
            </w:r>
          </w:p>
        </w:tc>
      </w:tr>
      <w:tr>
        <w:tc>
          <w:tcPr>
            <w:tcW w:type="dxa" w:w="2340"/>
            <w:shd w:val="clear" w:color="auto" w:fill="F8FAFC"/>
            <w:tcMar>
              <w:top w:w="80" w:type="dxa"/>
              <w:bottom w:w="80" w:type="dxa"/>
              <w:left w:w="100" w:type="dxa"/>
              <w:right w:w="100" w:type="dxa"/>
            </w:tcMar>
          </w:tcPr>
          <w:p>
            <w:r>
              <w:rPr>
                <w:rFonts w:ascii="Times New Roman" w:hAnsi="Times New Roman"/>
                <w:color w:val="000000"/>
                <w:sz w:val="19"/>
              </w:rPr>
              <w:t>0.10</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14.1421</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8.2110</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11.6466</w:t>
            </w:r>
          </w:p>
        </w:tc>
      </w:tr>
      <w:tr>
        <w:tc>
          <w:tcPr>
            <w:tcW w:type="dxa" w:w="2340"/>
            <w:shd w:val="clear" w:color="auto" w:fill="FFFFFF"/>
            <w:tcMar>
              <w:top w:w="80" w:type="dxa"/>
              <w:bottom w:w="80" w:type="dxa"/>
              <w:left w:w="100" w:type="dxa"/>
              <w:right w:w="100" w:type="dxa"/>
            </w:tcMar>
          </w:tcPr>
          <w:p>
            <w:r>
              <w:rPr>
                <w:rFonts w:ascii="Times New Roman" w:hAnsi="Times New Roman"/>
                <w:color w:val="000000"/>
                <w:sz w:val="19"/>
              </w:rPr>
              <w:t>0.25</w:t>
            </w:r>
          </w:p>
        </w:tc>
        <w:tc>
          <w:tcPr>
            <w:tcW w:type="dxa" w:w="2340"/>
            <w:shd w:val="clear" w:color="auto" w:fill="FFFFFF"/>
            <w:tcMar>
              <w:top w:w="80" w:type="dxa"/>
              <w:bottom w:w="80" w:type="dxa"/>
              <w:left w:w="100" w:type="dxa"/>
              <w:right w:w="100" w:type="dxa"/>
            </w:tcMar>
          </w:tcPr>
          <w:p>
            <w:r>
              <w:rPr>
                <w:rFonts w:ascii="Times New Roman" w:hAnsi="Times New Roman"/>
                <w:color w:val="000000"/>
                <w:sz w:val="19"/>
              </w:rPr>
              <w:t>5.6569</w:t>
            </w:r>
          </w:p>
        </w:tc>
        <w:tc>
          <w:tcPr>
            <w:tcW w:type="dxa" w:w="2340"/>
            <w:shd w:val="clear" w:color="auto" w:fill="FFFFFF"/>
            <w:tcMar>
              <w:top w:w="80" w:type="dxa"/>
              <w:bottom w:w="80" w:type="dxa"/>
              <w:left w:w="100" w:type="dxa"/>
              <w:right w:w="100" w:type="dxa"/>
            </w:tcMar>
          </w:tcPr>
          <w:p>
            <w:r>
              <w:rPr>
                <w:rFonts w:ascii="Times New Roman" w:hAnsi="Times New Roman"/>
                <w:color w:val="000000"/>
                <w:sz w:val="19"/>
              </w:rPr>
              <w:t>4.2083</w:t>
            </w:r>
          </w:p>
        </w:tc>
        <w:tc>
          <w:tcPr>
            <w:tcW w:type="dxa" w:w="2340"/>
            <w:shd w:val="clear" w:color="auto" w:fill="FFFFFF"/>
            <w:tcMar>
              <w:top w:w="80" w:type="dxa"/>
              <w:bottom w:w="80" w:type="dxa"/>
              <w:left w:w="100" w:type="dxa"/>
              <w:right w:w="100" w:type="dxa"/>
            </w:tcMar>
          </w:tcPr>
          <w:p>
            <w:r>
              <w:rPr>
                <w:rFonts w:ascii="Times New Roman" w:hAnsi="Times New Roman"/>
                <w:color w:val="000000"/>
                <w:sz w:val="19"/>
              </w:rPr>
              <w:t>6.1971</w:t>
            </w:r>
          </w:p>
        </w:tc>
      </w:tr>
      <w:tr>
        <w:tc>
          <w:tcPr>
            <w:tcW w:type="dxa" w:w="2340"/>
            <w:shd w:val="clear" w:color="auto" w:fill="F8FAFC"/>
            <w:tcMar>
              <w:top w:w="80" w:type="dxa"/>
              <w:bottom w:w="80" w:type="dxa"/>
              <w:left w:w="100" w:type="dxa"/>
              <w:right w:w="100" w:type="dxa"/>
            </w:tcMar>
          </w:tcPr>
          <w:p>
            <w:r>
              <w:rPr>
                <w:rFonts w:ascii="Times New Roman" w:hAnsi="Times New Roman"/>
                <w:color w:val="000000"/>
                <w:sz w:val="19"/>
              </w:rPr>
              <w:t>0.50</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2.8284</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2.0315</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2.8753</w:t>
            </w:r>
          </w:p>
        </w:tc>
      </w:tr>
      <w:tr>
        <w:tc>
          <w:tcPr>
            <w:tcW w:type="dxa" w:w="2340"/>
            <w:shd w:val="clear" w:color="auto" w:fill="FFFFFF"/>
            <w:tcMar>
              <w:top w:w="80" w:type="dxa"/>
              <w:bottom w:w="80" w:type="dxa"/>
              <w:left w:w="100" w:type="dxa"/>
              <w:right w:w="100" w:type="dxa"/>
            </w:tcMar>
          </w:tcPr>
          <w:p>
            <w:r>
              <w:rPr>
                <w:rFonts w:ascii="Times New Roman" w:hAnsi="Times New Roman"/>
                <w:color w:val="000000"/>
                <w:sz w:val="19"/>
              </w:rPr>
              <w:t>1.00</w:t>
            </w:r>
          </w:p>
        </w:tc>
        <w:tc>
          <w:tcPr>
            <w:tcW w:type="dxa" w:w="2340"/>
            <w:shd w:val="clear" w:color="auto" w:fill="FFFFFF"/>
            <w:tcMar>
              <w:top w:w="80" w:type="dxa"/>
              <w:bottom w:w="80" w:type="dxa"/>
              <w:left w:w="100" w:type="dxa"/>
              <w:right w:w="100" w:type="dxa"/>
            </w:tcMar>
          </w:tcPr>
          <w:p>
            <w:r>
              <w:rPr>
                <w:rFonts w:ascii="Times New Roman" w:hAnsi="Times New Roman"/>
                <w:color w:val="000000"/>
                <w:sz w:val="19"/>
              </w:rPr>
              <w:t>1.4142</w:t>
            </w:r>
          </w:p>
        </w:tc>
        <w:tc>
          <w:tcPr>
            <w:tcW w:type="dxa" w:w="2340"/>
            <w:shd w:val="clear" w:color="auto" w:fill="FFFFFF"/>
            <w:tcMar>
              <w:top w:w="80" w:type="dxa"/>
              <w:bottom w:w="80" w:type="dxa"/>
              <w:left w:w="100" w:type="dxa"/>
              <w:right w:w="100" w:type="dxa"/>
            </w:tcMar>
          </w:tcPr>
          <w:p>
            <w:r>
              <w:rPr>
                <w:rFonts w:ascii="Times New Roman" w:hAnsi="Times New Roman"/>
                <w:color w:val="000000"/>
                <w:sz w:val="19"/>
              </w:rPr>
              <w:t>1.0174</w:t>
            </w:r>
          </w:p>
        </w:tc>
        <w:tc>
          <w:tcPr>
            <w:tcW w:type="dxa" w:w="2340"/>
            <w:shd w:val="clear" w:color="auto" w:fill="FFFFFF"/>
            <w:tcMar>
              <w:top w:w="80" w:type="dxa"/>
              <w:bottom w:w="80" w:type="dxa"/>
              <w:left w:w="100" w:type="dxa"/>
              <w:right w:w="100" w:type="dxa"/>
            </w:tcMar>
          </w:tcPr>
          <w:p>
            <w:r>
              <w:rPr>
                <w:rFonts w:ascii="Times New Roman" w:hAnsi="Times New Roman"/>
                <w:color w:val="000000"/>
                <w:sz w:val="19"/>
              </w:rPr>
              <w:t>1.5669</w:t>
            </w:r>
          </w:p>
        </w:tc>
      </w:tr>
      <w:tr>
        <w:tc>
          <w:tcPr>
            <w:tcW w:type="dxa" w:w="2340"/>
            <w:shd w:val="clear" w:color="auto" w:fill="F8FAFC"/>
            <w:tcMar>
              <w:top w:w="80" w:type="dxa"/>
              <w:bottom w:w="80" w:type="dxa"/>
              <w:left w:w="100" w:type="dxa"/>
              <w:right w:w="100" w:type="dxa"/>
            </w:tcMar>
          </w:tcPr>
          <w:p>
            <w:r>
              <w:rPr>
                <w:rFonts w:ascii="Times New Roman" w:hAnsi="Times New Roman"/>
                <w:color w:val="000000"/>
                <w:sz w:val="19"/>
              </w:rPr>
              <w:t>2.00</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0.7071</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0.5552</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0.7614</w:t>
            </w:r>
          </w:p>
        </w:tc>
      </w:tr>
      <w:tr>
        <w:tc>
          <w:tcPr>
            <w:tcW w:type="dxa" w:w="2340"/>
            <w:shd w:val="clear" w:color="auto" w:fill="FFFFFF"/>
            <w:tcMar>
              <w:top w:w="80" w:type="dxa"/>
              <w:bottom w:w="80" w:type="dxa"/>
              <w:left w:w="100" w:type="dxa"/>
              <w:right w:w="100" w:type="dxa"/>
            </w:tcMar>
          </w:tcPr>
          <w:p>
            <w:r>
              <w:rPr>
                <w:rFonts w:ascii="Times New Roman" w:hAnsi="Times New Roman"/>
                <w:color w:val="000000"/>
                <w:sz w:val="19"/>
              </w:rPr>
              <w:t>5.00</w:t>
            </w:r>
          </w:p>
        </w:tc>
        <w:tc>
          <w:tcPr>
            <w:tcW w:type="dxa" w:w="2340"/>
            <w:shd w:val="clear" w:color="auto" w:fill="FFFFFF"/>
            <w:tcMar>
              <w:top w:w="80" w:type="dxa"/>
              <w:bottom w:w="80" w:type="dxa"/>
              <w:left w:w="100" w:type="dxa"/>
              <w:right w:w="100" w:type="dxa"/>
            </w:tcMar>
          </w:tcPr>
          <w:p>
            <w:r>
              <w:rPr>
                <w:rFonts w:ascii="Times New Roman" w:hAnsi="Times New Roman"/>
                <w:color w:val="000000"/>
                <w:sz w:val="19"/>
              </w:rPr>
              <w:t>0.2828</w:t>
            </w:r>
          </w:p>
        </w:tc>
        <w:tc>
          <w:tcPr>
            <w:tcW w:type="dxa" w:w="2340"/>
            <w:shd w:val="clear" w:color="auto" w:fill="FFFFFF"/>
            <w:tcMar>
              <w:top w:w="80" w:type="dxa"/>
              <w:bottom w:w="80" w:type="dxa"/>
              <w:left w:w="100" w:type="dxa"/>
              <w:right w:w="100" w:type="dxa"/>
            </w:tcMar>
          </w:tcPr>
          <w:p>
            <w:r>
              <w:rPr>
                <w:rFonts w:ascii="Times New Roman" w:hAnsi="Times New Roman"/>
                <w:color w:val="000000"/>
                <w:sz w:val="19"/>
              </w:rPr>
              <w:t>0.2048</w:t>
            </w:r>
          </w:p>
        </w:tc>
        <w:tc>
          <w:tcPr>
            <w:tcW w:type="dxa" w:w="2340"/>
            <w:shd w:val="clear" w:color="auto" w:fill="FFFFFF"/>
            <w:tcMar>
              <w:top w:w="80" w:type="dxa"/>
              <w:bottom w:w="80" w:type="dxa"/>
              <w:left w:w="100" w:type="dxa"/>
              <w:right w:w="100" w:type="dxa"/>
            </w:tcMar>
          </w:tcPr>
          <w:p>
            <w:r>
              <w:rPr>
                <w:rFonts w:ascii="Times New Roman" w:hAnsi="Times New Roman"/>
                <w:color w:val="000000"/>
                <w:sz w:val="19"/>
              </w:rPr>
              <w:t>0.2884</w:t>
            </w:r>
          </w:p>
        </w:tc>
      </w:tr>
      <w:tr>
        <w:tc>
          <w:tcPr>
            <w:tcW w:type="dxa" w:w="2340"/>
            <w:shd w:val="clear" w:color="auto" w:fill="F8FAFC"/>
            <w:tcMar>
              <w:top w:w="80" w:type="dxa"/>
              <w:bottom w:w="80" w:type="dxa"/>
              <w:left w:w="100" w:type="dxa"/>
              <w:right w:w="100" w:type="dxa"/>
            </w:tcMar>
          </w:tcPr>
          <w:p>
            <w:r>
              <w:rPr>
                <w:rFonts w:ascii="Times New Roman" w:hAnsi="Times New Roman"/>
                <w:color w:val="000000"/>
                <w:sz w:val="19"/>
              </w:rPr>
              <w:t>10.00</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0.1414</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0.1108</w:t>
            </w:r>
          </w:p>
        </w:tc>
        <w:tc>
          <w:tcPr>
            <w:tcW w:type="dxa" w:w="2340"/>
            <w:shd w:val="clear" w:color="auto" w:fill="F8FAFC"/>
            <w:tcMar>
              <w:top w:w="80" w:type="dxa"/>
              <w:bottom w:w="80" w:type="dxa"/>
              <w:left w:w="100" w:type="dxa"/>
              <w:right w:w="100" w:type="dxa"/>
            </w:tcMar>
          </w:tcPr>
          <w:p>
            <w:r>
              <w:rPr>
                <w:rFonts w:ascii="Times New Roman" w:hAnsi="Times New Roman"/>
                <w:color w:val="000000"/>
                <w:sz w:val="19"/>
              </w:rPr>
              <w:t>0.1552</w:t>
            </w:r>
          </w:p>
        </w:tc>
      </w:tr>
    </w:tbl>
    <w:p>
      <w:pPr>
        <w:spacing w:after="200"/>
      </w:pPr>
    </w:p>
    <w:p>
      <w:pPr>
        <w:spacing w:line="276" w:lineRule="auto" w:after="120"/>
        <w:jc w:val="both"/>
      </w:pPr>
      <w:r>
        <w:rPr>
          <w:rFonts w:ascii="Times New Roman" w:hAnsi="Times New Roman"/>
          <w:color w:val="000000"/>
          <w:sz w:val="24"/>
        </w:rPr>
        <w:t>Benchmark 2: Adversarial Triangulation Attack Simulation. An adversary executes six sequential aggregate queries designed to isolate Alice's salary ($92,000) by narrowing WHERE filters. Table 4.2 contrasts the Static Baseline against the AP3 Adaptive Proxy.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0F2B5C"/>
            <w:tcMar>
              <w:top w:w="100" w:type="dxa"/>
              <w:bottom w:w="100" w:type="dxa"/>
              <w:left w:w="100" w:type="dxa"/>
              <w:right w:w="100" w:type="dxa"/>
            </w:tcMar>
          </w:tcPr>
          <w:p>
            <w:r>
              <w:rPr>
                <w:rFonts w:ascii="Times New Roman" w:hAnsi="Times New Roman"/>
                <w:b/>
                <w:color w:val="FFFFFF"/>
                <w:sz w:val="19"/>
              </w:rPr>
              <w:t>Probe Step / Query</w:t>
            </w:r>
          </w:p>
        </w:tc>
        <w:tc>
          <w:tcPr>
            <w:tcW w:type="dxa" w:w="1728"/>
            <w:shd w:val="clear" w:color="auto" w:fill="0F2B5C"/>
            <w:tcMar>
              <w:top w:w="100" w:type="dxa"/>
              <w:bottom w:w="100" w:type="dxa"/>
              <w:left w:w="100" w:type="dxa"/>
              <w:right w:w="100" w:type="dxa"/>
            </w:tcMar>
          </w:tcPr>
          <w:p>
            <w:r>
              <w:rPr>
                <w:rFonts w:ascii="Times New Roman" w:hAnsi="Times New Roman"/>
                <w:b/>
                <w:color w:val="FFFFFF"/>
                <w:sz w:val="19"/>
              </w:rPr>
              <w:t>Static ε</w:t>
            </w:r>
          </w:p>
        </w:tc>
        <w:tc>
          <w:tcPr>
            <w:tcW w:type="dxa" w:w="2160"/>
            <w:shd w:val="clear" w:color="auto" w:fill="0F2B5C"/>
            <w:tcMar>
              <w:top w:w="100" w:type="dxa"/>
              <w:bottom w:w="100" w:type="dxa"/>
              <w:left w:w="100" w:type="dxa"/>
              <w:right w:w="100" w:type="dxa"/>
            </w:tcMar>
          </w:tcPr>
          <w:p>
            <w:r>
              <w:rPr>
                <w:rFonts w:ascii="Times New Roman" w:hAnsi="Times New Roman"/>
                <w:b/>
                <w:color w:val="FFFFFF"/>
                <w:sz w:val="19"/>
              </w:rPr>
              <w:t>Static Error (Denial)</w:t>
            </w:r>
          </w:p>
        </w:tc>
        <w:tc>
          <w:tcPr>
            <w:tcW w:type="dxa" w:w="2160"/>
            <w:shd w:val="clear" w:color="auto" w:fill="0F2B5C"/>
            <w:tcMar>
              <w:top w:w="100" w:type="dxa"/>
              <w:bottom w:w="100" w:type="dxa"/>
              <w:left w:w="100" w:type="dxa"/>
              <w:right w:w="100" w:type="dxa"/>
            </w:tcMar>
          </w:tcPr>
          <w:p>
            <w:r>
              <w:rPr>
                <w:rFonts w:ascii="Times New Roman" w:hAnsi="Times New Roman"/>
                <w:b/>
                <w:color w:val="FFFFFF"/>
                <w:sz w:val="19"/>
              </w:rPr>
              <w:t>AP3 r(u,q) &amp; ε_eff</w:t>
            </w:r>
          </w:p>
        </w:tc>
        <w:tc>
          <w:tcPr>
            <w:tcW w:type="dxa" w:w="2160"/>
            <w:shd w:val="clear" w:color="auto" w:fill="0F2B5C"/>
            <w:tcMar>
              <w:top w:w="100" w:type="dxa"/>
              <w:bottom w:w="100" w:type="dxa"/>
              <w:left w:w="100" w:type="dxa"/>
              <w:right w:w="100" w:type="dxa"/>
            </w:tcMar>
          </w:tcPr>
          <w:p>
            <w:r>
              <w:rPr>
                <w:rFonts w:ascii="Times New Roman" w:hAnsi="Times New Roman"/>
                <w:b/>
                <w:color w:val="FFFFFF"/>
                <w:sz w:val="19"/>
              </w:rPr>
              <w:t>AP3 Error &amp; Protection</w:t>
            </w:r>
          </w:p>
        </w:tc>
      </w:tr>
      <w:tr>
        <w:tc>
          <w:tcPr>
            <w:tcW w:type="dxa" w:w="2592"/>
            <w:shd w:val="clear" w:color="auto" w:fill="F8FAFC"/>
            <w:tcMar>
              <w:top w:w="80" w:type="dxa"/>
              <w:bottom w:w="80" w:type="dxa"/>
              <w:left w:w="100" w:type="dxa"/>
              <w:right w:w="100" w:type="dxa"/>
            </w:tcMar>
          </w:tcPr>
          <w:p>
            <w:r>
              <w:rPr>
                <w:rFonts w:ascii="Times New Roman" w:hAnsi="Times New Roman"/>
                <w:b w:val="0"/>
                <w:color w:val="000000"/>
                <w:sz w:val="18"/>
              </w:rPr>
              <w:t>1. Broad (Dept AVG)</w:t>
            </w:r>
          </w:p>
        </w:tc>
        <w:tc>
          <w:tcPr>
            <w:tcW w:type="dxa" w:w="1728"/>
            <w:shd w:val="clear" w:color="auto" w:fill="F8FAFC"/>
            <w:tcMar>
              <w:top w:w="80" w:type="dxa"/>
              <w:bottom w:w="80" w:type="dxa"/>
              <w:left w:w="100" w:type="dxa"/>
              <w:right w:w="100" w:type="dxa"/>
            </w:tcMar>
          </w:tcPr>
          <w:p>
            <w:r>
              <w:rPr>
                <w:rFonts w:ascii="Times New Roman" w:hAnsi="Times New Roman"/>
                <w:b w:val="0"/>
                <w:color w:val="000000"/>
                <w:sz w:val="18"/>
              </w:rPr>
              <w:t>1.00</w:t>
            </w:r>
          </w:p>
        </w:tc>
        <w:tc>
          <w:tcPr>
            <w:tcW w:type="dxa" w:w="2160"/>
            <w:shd w:val="clear" w:color="auto" w:fill="F8FAFC"/>
            <w:tcMar>
              <w:top w:w="80" w:type="dxa"/>
              <w:bottom w:w="80" w:type="dxa"/>
              <w:left w:w="100" w:type="dxa"/>
              <w:right w:w="100" w:type="dxa"/>
            </w:tcMar>
          </w:tcPr>
          <w:p>
            <w:r>
              <w:rPr>
                <w:rFonts w:ascii="Times New Roman" w:hAnsi="Times New Roman"/>
                <w:b w:val="0"/>
                <w:color w:val="000000"/>
                <w:sz w:val="18"/>
              </w:rPr>
              <w:t>Err: 11.13</w:t>
            </w:r>
          </w:p>
        </w:tc>
        <w:tc>
          <w:tcPr>
            <w:tcW w:type="dxa" w:w="2160"/>
            <w:shd w:val="clear" w:color="auto" w:fill="F8FAFC"/>
            <w:tcMar>
              <w:top w:w="80" w:type="dxa"/>
              <w:bottom w:w="80" w:type="dxa"/>
              <w:left w:w="100" w:type="dxa"/>
              <w:right w:w="100" w:type="dxa"/>
            </w:tcMar>
          </w:tcPr>
          <w:p>
            <w:r>
              <w:rPr>
                <w:rFonts w:ascii="Times New Roman" w:hAnsi="Times New Roman"/>
                <w:b/>
                <w:color w:val="000000"/>
                <w:sz w:val="18"/>
              </w:rPr>
              <w:t>r=0.0000 | ε=1.0000</w:t>
            </w:r>
          </w:p>
        </w:tc>
        <w:tc>
          <w:tcPr>
            <w:tcW w:type="dxa" w:w="2160"/>
            <w:shd w:val="clear" w:color="auto" w:fill="F8FAFC"/>
            <w:tcMar>
              <w:top w:w="80" w:type="dxa"/>
              <w:bottom w:w="80" w:type="dxa"/>
              <w:left w:w="100" w:type="dxa"/>
              <w:right w:w="100" w:type="dxa"/>
            </w:tcMar>
          </w:tcPr>
          <w:p>
            <w:r>
              <w:rPr>
                <w:rFonts w:ascii="Times New Roman" w:hAnsi="Times New Roman"/>
                <w:b w:val="0"/>
                <w:color w:val="000000"/>
                <w:sz w:val="18"/>
              </w:rPr>
              <w:t>Err: 0.99 (High utility)</w:t>
            </w:r>
          </w:p>
        </w:tc>
      </w:tr>
      <w:tr>
        <w:tc>
          <w:tcPr>
            <w:tcW w:type="dxa" w:w="2592"/>
            <w:shd w:val="clear" w:color="auto" w:fill="FFFFFF"/>
            <w:tcMar>
              <w:top w:w="80" w:type="dxa"/>
              <w:bottom w:w="80" w:type="dxa"/>
              <w:left w:w="100" w:type="dxa"/>
              <w:right w:w="100" w:type="dxa"/>
            </w:tcMar>
          </w:tcPr>
          <w:p>
            <w:r>
              <w:rPr>
                <w:rFonts w:ascii="Times New Roman" w:hAnsi="Times New Roman"/>
                <w:b w:val="0"/>
                <w:color w:val="000000"/>
                <w:sz w:val="18"/>
              </w:rPr>
              <w:t>2. Narrow (Salary ≥ 110k)</w:t>
            </w:r>
          </w:p>
        </w:tc>
        <w:tc>
          <w:tcPr>
            <w:tcW w:type="dxa" w:w="1728"/>
            <w:shd w:val="clear" w:color="auto" w:fill="FFFFFF"/>
            <w:tcMar>
              <w:top w:w="80" w:type="dxa"/>
              <w:bottom w:w="80" w:type="dxa"/>
              <w:left w:w="100" w:type="dxa"/>
              <w:right w:w="100" w:type="dxa"/>
            </w:tcMar>
          </w:tcPr>
          <w:p>
            <w:r>
              <w:rPr>
                <w:rFonts w:ascii="Times New Roman" w:hAnsi="Times New Roman"/>
                <w:b w:val="0"/>
                <w:color w:val="000000"/>
                <w:sz w:val="18"/>
              </w:rPr>
              <w:t>1.00</w:t>
            </w:r>
          </w:p>
        </w:tc>
        <w:tc>
          <w:tcPr>
            <w:tcW w:type="dxa" w:w="2160"/>
            <w:shd w:val="clear" w:color="auto" w:fill="FFFFFF"/>
            <w:tcMar>
              <w:top w:w="80" w:type="dxa"/>
              <w:bottom w:w="80" w:type="dxa"/>
              <w:left w:w="100" w:type="dxa"/>
              <w:right w:w="100" w:type="dxa"/>
            </w:tcMar>
          </w:tcPr>
          <w:p>
            <w:r>
              <w:rPr>
                <w:rFonts w:ascii="Times New Roman" w:hAnsi="Times New Roman"/>
                <w:b w:val="0"/>
                <w:color w:val="000000"/>
                <w:sz w:val="18"/>
              </w:rPr>
              <w:t>Err: 1.24</w:t>
            </w:r>
          </w:p>
        </w:tc>
        <w:tc>
          <w:tcPr>
            <w:tcW w:type="dxa" w:w="2160"/>
            <w:shd w:val="clear" w:color="auto" w:fill="FFFFFF"/>
            <w:tcMar>
              <w:top w:w="80" w:type="dxa"/>
              <w:bottom w:w="80" w:type="dxa"/>
              <w:left w:w="100" w:type="dxa"/>
              <w:right w:w="100" w:type="dxa"/>
            </w:tcMar>
          </w:tcPr>
          <w:p>
            <w:r>
              <w:rPr>
                <w:rFonts w:ascii="Times New Roman" w:hAnsi="Times New Roman"/>
                <w:b/>
                <w:color w:val="000000"/>
                <w:sz w:val="18"/>
              </w:rPr>
              <w:t>r=0.2173 | ε=0.6126</w:t>
            </w:r>
          </w:p>
        </w:tc>
        <w:tc>
          <w:tcPr>
            <w:tcW w:type="dxa" w:w="2160"/>
            <w:shd w:val="clear" w:color="auto" w:fill="FFFFFF"/>
            <w:tcMar>
              <w:top w:w="80" w:type="dxa"/>
              <w:bottom w:w="80" w:type="dxa"/>
              <w:left w:w="100" w:type="dxa"/>
              <w:right w:w="100" w:type="dxa"/>
            </w:tcMar>
          </w:tcPr>
          <w:p>
            <w:r>
              <w:rPr>
                <w:rFonts w:ascii="Times New Roman" w:hAnsi="Times New Roman"/>
                <w:b w:val="0"/>
                <w:color w:val="000000"/>
                <w:sz w:val="18"/>
              </w:rPr>
              <w:t>Err: 1.11 (Coupled noise)</w:t>
            </w:r>
          </w:p>
        </w:tc>
      </w:tr>
      <w:tr>
        <w:tc>
          <w:tcPr>
            <w:tcW w:type="dxa" w:w="2592"/>
            <w:shd w:val="clear" w:color="auto" w:fill="F8FAFC"/>
            <w:tcMar>
              <w:top w:w="80" w:type="dxa"/>
              <w:bottom w:w="80" w:type="dxa"/>
              <w:left w:w="100" w:type="dxa"/>
              <w:right w:w="100" w:type="dxa"/>
            </w:tcMar>
          </w:tcPr>
          <w:p>
            <w:r>
              <w:rPr>
                <w:rFonts w:ascii="Times New Roman" w:hAnsi="Times New Roman"/>
                <w:b w:val="0"/>
                <w:color w:val="000000"/>
                <w:sz w:val="18"/>
              </w:rPr>
              <w:t>3. Narrow (Salary 110-120k)</w:t>
            </w:r>
          </w:p>
        </w:tc>
        <w:tc>
          <w:tcPr>
            <w:tcW w:type="dxa" w:w="1728"/>
            <w:shd w:val="clear" w:color="auto" w:fill="F8FAFC"/>
            <w:tcMar>
              <w:top w:w="80" w:type="dxa"/>
              <w:bottom w:w="80" w:type="dxa"/>
              <w:left w:w="100" w:type="dxa"/>
              <w:right w:w="100" w:type="dxa"/>
            </w:tcMar>
          </w:tcPr>
          <w:p>
            <w:r>
              <w:rPr>
                <w:rFonts w:ascii="Times New Roman" w:hAnsi="Times New Roman"/>
                <w:b w:val="0"/>
                <w:color w:val="000000"/>
                <w:sz w:val="18"/>
              </w:rPr>
              <w:t>1.00</w:t>
            </w:r>
          </w:p>
        </w:tc>
        <w:tc>
          <w:tcPr>
            <w:tcW w:type="dxa" w:w="2160"/>
            <w:shd w:val="clear" w:color="auto" w:fill="F8FAFC"/>
            <w:tcMar>
              <w:top w:w="80" w:type="dxa"/>
              <w:bottom w:w="80" w:type="dxa"/>
              <w:left w:w="100" w:type="dxa"/>
              <w:right w:w="100" w:type="dxa"/>
            </w:tcMar>
          </w:tcPr>
          <w:p>
            <w:r>
              <w:rPr>
                <w:rFonts w:ascii="Times New Roman" w:hAnsi="Times New Roman"/>
                <w:b w:val="0"/>
                <w:color w:val="000000"/>
                <w:sz w:val="18"/>
              </w:rPr>
              <w:t>Err: 9.39</w:t>
            </w:r>
          </w:p>
        </w:tc>
        <w:tc>
          <w:tcPr>
            <w:tcW w:type="dxa" w:w="2160"/>
            <w:shd w:val="clear" w:color="auto" w:fill="F8FAFC"/>
            <w:tcMar>
              <w:top w:w="80" w:type="dxa"/>
              <w:bottom w:w="80" w:type="dxa"/>
              <w:left w:w="100" w:type="dxa"/>
              <w:right w:w="100" w:type="dxa"/>
            </w:tcMar>
          </w:tcPr>
          <w:p>
            <w:r>
              <w:rPr>
                <w:rFonts w:ascii="Times New Roman" w:hAnsi="Times New Roman"/>
                <w:b/>
                <w:color w:val="000000"/>
                <w:sz w:val="18"/>
              </w:rPr>
              <w:t>r=0.4484 | ε=0.3043</w:t>
            </w:r>
          </w:p>
        </w:tc>
        <w:tc>
          <w:tcPr>
            <w:tcW w:type="dxa" w:w="2160"/>
            <w:shd w:val="clear" w:color="auto" w:fill="F8FAFC"/>
            <w:tcMar>
              <w:top w:w="80" w:type="dxa"/>
              <w:bottom w:w="80" w:type="dxa"/>
              <w:left w:w="100" w:type="dxa"/>
              <w:right w:w="100" w:type="dxa"/>
            </w:tcMar>
          </w:tcPr>
          <w:p>
            <w:r>
              <w:rPr>
                <w:rFonts w:ascii="Times New Roman" w:hAnsi="Times New Roman"/>
                <w:b w:val="0"/>
                <w:color w:val="000000"/>
                <w:sz w:val="18"/>
              </w:rPr>
              <w:t>Err: 5.40 (Noise scaled)</w:t>
            </w:r>
          </w:p>
        </w:tc>
      </w:tr>
      <w:tr>
        <w:tc>
          <w:tcPr>
            <w:tcW w:type="dxa" w:w="2592"/>
            <w:shd w:val="clear" w:color="auto" w:fill="FFFFFF"/>
            <w:tcMar>
              <w:top w:w="80" w:type="dxa"/>
              <w:bottom w:w="80" w:type="dxa"/>
              <w:left w:w="100" w:type="dxa"/>
              <w:right w:w="100" w:type="dxa"/>
            </w:tcMar>
          </w:tcPr>
          <w:p>
            <w:r>
              <w:rPr>
                <w:rFonts w:ascii="Times New Roman" w:hAnsi="Times New Roman"/>
                <w:b w:val="0"/>
                <w:color w:val="000000"/>
                <w:sz w:val="18"/>
              </w:rPr>
              <w:t>4. Target (Name = 'Alice')</w:t>
            </w:r>
          </w:p>
        </w:tc>
        <w:tc>
          <w:tcPr>
            <w:tcW w:type="dxa" w:w="1728"/>
            <w:shd w:val="clear" w:color="auto" w:fill="FFFFFF"/>
            <w:tcMar>
              <w:top w:w="80" w:type="dxa"/>
              <w:bottom w:w="80" w:type="dxa"/>
              <w:left w:w="100" w:type="dxa"/>
              <w:right w:w="100" w:type="dxa"/>
            </w:tcMar>
          </w:tcPr>
          <w:p>
            <w:r>
              <w:rPr>
                <w:rFonts w:ascii="Times New Roman" w:hAnsi="Times New Roman"/>
                <w:b w:val="0"/>
                <w:color w:val="000000"/>
                <w:sz w:val="18"/>
              </w:rPr>
              <w:t>1.00</w:t>
            </w:r>
          </w:p>
        </w:tc>
        <w:tc>
          <w:tcPr>
            <w:tcW w:type="dxa" w:w="2160"/>
            <w:shd w:val="clear" w:color="auto" w:fill="FFFFFF"/>
            <w:tcMar>
              <w:top w:w="80" w:type="dxa"/>
              <w:bottom w:w="80" w:type="dxa"/>
              <w:left w:w="100" w:type="dxa"/>
              <w:right w:w="100" w:type="dxa"/>
            </w:tcMar>
          </w:tcPr>
          <w:p>
            <w:r>
              <w:rPr>
                <w:rFonts w:ascii="Times New Roman" w:hAnsi="Times New Roman"/>
                <w:b w:val="0"/>
                <w:color w:val="000000"/>
                <w:sz w:val="18"/>
              </w:rPr>
              <w:t>Err: 1.37</w:t>
            </w:r>
          </w:p>
        </w:tc>
        <w:tc>
          <w:tcPr>
            <w:tcW w:type="dxa" w:w="2160"/>
            <w:shd w:val="clear" w:color="auto" w:fill="FFFFFF"/>
            <w:tcMar>
              <w:top w:w="80" w:type="dxa"/>
              <w:bottom w:w="80" w:type="dxa"/>
              <w:left w:w="100" w:type="dxa"/>
              <w:right w:w="100" w:type="dxa"/>
            </w:tcMar>
          </w:tcPr>
          <w:p>
            <w:r>
              <w:rPr>
                <w:rFonts w:ascii="Times New Roman" w:hAnsi="Times New Roman"/>
                <w:b/>
                <w:color w:val="000000"/>
                <w:sz w:val="18"/>
              </w:rPr>
              <w:t>r=0.5261 | ε=0.2246</w:t>
            </w:r>
          </w:p>
        </w:tc>
        <w:tc>
          <w:tcPr>
            <w:tcW w:type="dxa" w:w="2160"/>
            <w:shd w:val="clear" w:color="auto" w:fill="FFFFFF"/>
            <w:tcMar>
              <w:top w:w="80" w:type="dxa"/>
              <w:bottom w:w="80" w:type="dxa"/>
              <w:left w:w="100" w:type="dxa"/>
              <w:right w:w="100" w:type="dxa"/>
            </w:tcMar>
          </w:tcPr>
          <w:p>
            <w:r>
              <w:rPr>
                <w:rFonts w:ascii="Times New Roman" w:hAnsi="Times New Roman"/>
                <w:b w:val="0"/>
                <w:color w:val="000000"/>
                <w:sz w:val="18"/>
              </w:rPr>
              <w:t>Err: 47.22 (Suppressed)</w:t>
            </w:r>
          </w:p>
        </w:tc>
      </w:tr>
      <w:tr>
        <w:tc>
          <w:tcPr>
            <w:tcW w:type="dxa" w:w="2592"/>
            <w:shd w:val="clear" w:color="auto" w:fill="F8FAFC"/>
            <w:tcMar>
              <w:top w:w="80" w:type="dxa"/>
              <w:bottom w:w="80" w:type="dxa"/>
              <w:left w:w="100" w:type="dxa"/>
              <w:right w:w="100" w:type="dxa"/>
            </w:tcMar>
          </w:tcPr>
          <w:p>
            <w:r>
              <w:rPr>
                <w:rFonts w:ascii="Times New Roman" w:hAnsi="Times New Roman"/>
                <w:b w:val="0"/>
                <w:color w:val="000000"/>
                <w:sz w:val="18"/>
              </w:rPr>
              <w:t>5. Isolate (+ ID = 1)</w:t>
            </w:r>
          </w:p>
        </w:tc>
        <w:tc>
          <w:tcPr>
            <w:tcW w:type="dxa" w:w="1728"/>
            <w:shd w:val="clear" w:color="auto" w:fill="F8FAFC"/>
            <w:tcMar>
              <w:top w:w="80" w:type="dxa"/>
              <w:bottom w:w="80" w:type="dxa"/>
              <w:left w:w="100" w:type="dxa"/>
              <w:right w:w="100" w:type="dxa"/>
            </w:tcMar>
          </w:tcPr>
          <w:p>
            <w:r>
              <w:rPr>
                <w:rFonts w:ascii="Times New Roman" w:hAnsi="Times New Roman"/>
                <w:b w:val="0"/>
                <w:color w:val="000000"/>
                <w:sz w:val="18"/>
              </w:rPr>
              <w:t>0.00</w:t>
            </w:r>
          </w:p>
        </w:tc>
        <w:tc>
          <w:tcPr>
            <w:tcW w:type="dxa" w:w="2160"/>
            <w:shd w:val="clear" w:color="auto" w:fill="F8FAFC"/>
            <w:tcMar>
              <w:top w:w="80" w:type="dxa"/>
              <w:bottom w:w="80" w:type="dxa"/>
              <w:left w:w="100" w:type="dxa"/>
              <w:right w:w="100" w:type="dxa"/>
            </w:tcMar>
          </w:tcPr>
          <w:p>
            <w:r>
              <w:rPr>
                <w:rFonts w:ascii="Times New Roman" w:hAnsi="Times New Roman"/>
                <w:b/>
                <w:color w:val="E11D48"/>
                <w:sz w:val="18"/>
              </w:rPr>
              <w:t>BLOCKED (429 Leak)</w:t>
            </w:r>
          </w:p>
        </w:tc>
        <w:tc>
          <w:tcPr>
            <w:tcW w:type="dxa" w:w="2160"/>
            <w:shd w:val="clear" w:color="auto" w:fill="F8FAFC"/>
            <w:tcMar>
              <w:top w:w="80" w:type="dxa"/>
              <w:bottom w:w="80" w:type="dxa"/>
              <w:left w:w="100" w:type="dxa"/>
              <w:right w:w="100" w:type="dxa"/>
            </w:tcMar>
          </w:tcPr>
          <w:p>
            <w:r>
              <w:rPr>
                <w:rFonts w:ascii="Times New Roman" w:hAnsi="Times New Roman"/>
                <w:b/>
                <w:color w:val="000000"/>
                <w:sz w:val="18"/>
              </w:rPr>
              <w:t>r=0.5951 | ε=0.1639</w:t>
            </w:r>
          </w:p>
        </w:tc>
        <w:tc>
          <w:tcPr>
            <w:tcW w:type="dxa" w:w="2160"/>
            <w:shd w:val="clear" w:color="auto" w:fill="F8FAFC"/>
            <w:tcMar>
              <w:top w:w="80" w:type="dxa"/>
              <w:bottom w:w="80" w:type="dxa"/>
              <w:left w:w="100" w:type="dxa"/>
              <w:right w:w="100" w:type="dxa"/>
            </w:tcMar>
          </w:tcPr>
          <w:p>
            <w:r>
              <w:rPr>
                <w:rFonts w:ascii="Times New Roman" w:hAnsi="Times New Roman"/>
                <w:b w:val="0"/>
                <w:color w:val="000000"/>
                <w:sz w:val="18"/>
              </w:rPr>
              <w:t>Err: 0.44 (Protected)</w:t>
            </w:r>
          </w:p>
        </w:tc>
      </w:tr>
      <w:tr>
        <w:tc>
          <w:tcPr>
            <w:tcW w:type="dxa" w:w="2592"/>
            <w:shd w:val="clear" w:color="auto" w:fill="FFFFFF"/>
            <w:tcMar>
              <w:top w:w="80" w:type="dxa"/>
              <w:bottom w:w="80" w:type="dxa"/>
              <w:left w:w="100" w:type="dxa"/>
              <w:right w:w="100" w:type="dxa"/>
            </w:tcMar>
          </w:tcPr>
          <w:p>
            <w:r>
              <w:rPr>
                <w:rFonts w:ascii="Times New Roman" w:hAnsi="Times New Roman"/>
                <w:b w:val="0"/>
                <w:color w:val="000000"/>
                <w:sz w:val="18"/>
              </w:rPr>
              <w:t>6. Post-Threshold Probe</w:t>
            </w:r>
          </w:p>
        </w:tc>
        <w:tc>
          <w:tcPr>
            <w:tcW w:type="dxa" w:w="1728"/>
            <w:shd w:val="clear" w:color="auto" w:fill="FFFFFF"/>
            <w:tcMar>
              <w:top w:w="80" w:type="dxa"/>
              <w:bottom w:w="80" w:type="dxa"/>
              <w:left w:w="100" w:type="dxa"/>
              <w:right w:w="100" w:type="dxa"/>
            </w:tcMar>
          </w:tcPr>
          <w:p>
            <w:r>
              <w:rPr>
                <w:rFonts w:ascii="Times New Roman" w:hAnsi="Times New Roman"/>
                <w:b w:val="0"/>
                <w:color w:val="000000"/>
                <w:sz w:val="18"/>
              </w:rPr>
              <w:t>0.00</w:t>
            </w:r>
          </w:p>
        </w:tc>
        <w:tc>
          <w:tcPr>
            <w:tcW w:type="dxa" w:w="2160"/>
            <w:shd w:val="clear" w:color="auto" w:fill="FFFFFF"/>
            <w:tcMar>
              <w:top w:w="80" w:type="dxa"/>
              <w:bottom w:w="80" w:type="dxa"/>
              <w:left w:w="100" w:type="dxa"/>
              <w:right w:w="100" w:type="dxa"/>
            </w:tcMar>
          </w:tcPr>
          <w:p>
            <w:r>
              <w:rPr>
                <w:rFonts w:ascii="Times New Roman" w:hAnsi="Times New Roman"/>
                <w:b/>
                <w:color w:val="E11D48"/>
                <w:sz w:val="18"/>
              </w:rPr>
              <w:t>BLOCKED (429 Leak)</w:t>
            </w:r>
          </w:p>
        </w:tc>
        <w:tc>
          <w:tcPr>
            <w:tcW w:type="dxa" w:w="2160"/>
            <w:shd w:val="clear" w:color="auto" w:fill="FFFFFF"/>
            <w:tcMar>
              <w:top w:w="80" w:type="dxa"/>
              <w:bottom w:w="80" w:type="dxa"/>
              <w:left w:w="100" w:type="dxa"/>
              <w:right w:w="100" w:type="dxa"/>
            </w:tcMar>
          </w:tcPr>
          <w:p>
            <w:r>
              <w:rPr>
                <w:rFonts w:ascii="Times New Roman" w:hAnsi="Times New Roman"/>
                <w:b/>
                <w:color w:val="000000"/>
                <w:sz w:val="18"/>
              </w:rPr>
              <w:t>r=0.7468 | ε=0.0641</w:t>
            </w:r>
          </w:p>
        </w:tc>
        <w:tc>
          <w:tcPr>
            <w:tcW w:type="dxa" w:w="2160"/>
            <w:shd w:val="clear" w:color="auto" w:fill="FFFFFF"/>
            <w:tcMar>
              <w:top w:w="80" w:type="dxa"/>
              <w:bottom w:w="80" w:type="dxa"/>
              <w:left w:w="100" w:type="dxa"/>
              <w:right w:w="100" w:type="dxa"/>
            </w:tcMar>
          </w:tcPr>
          <w:p>
            <w:r>
              <w:rPr>
                <w:rFonts w:ascii="Times New Roman" w:hAnsi="Times New Roman"/>
                <w:b w:val="0"/>
                <w:color w:val="000000"/>
                <w:sz w:val="18"/>
              </w:rPr>
              <w:t>Err: 19.75 (Degraded)</w:t>
            </w:r>
          </w:p>
        </w:tc>
      </w:tr>
      <w:tr>
        <w:tc>
          <w:tcPr>
            <w:tcW w:type="dxa" w:w="2592"/>
            <w:shd w:val="clear" w:color="auto" w:fill="E0F2FE"/>
            <w:tcMar>
              <w:top w:w="80" w:type="dxa"/>
              <w:bottom w:w="80" w:type="dxa"/>
              <w:left w:w="100" w:type="dxa"/>
              <w:right w:w="100" w:type="dxa"/>
            </w:tcMar>
          </w:tcPr>
          <w:p>
            <w:r>
              <w:rPr>
                <w:rFonts w:ascii="Times New Roman" w:hAnsi="Times New Roman"/>
                <w:b/>
                <w:color w:val="000000"/>
                <w:sz w:val="18"/>
              </w:rPr>
              <w:t>Overhead Benchmark (100 runs)</w:t>
            </w:r>
          </w:p>
        </w:tc>
        <w:tc>
          <w:tcPr>
            <w:tcW w:type="dxa" w:w="1728"/>
            <w:shd w:val="clear" w:color="auto" w:fill="E0F2FE"/>
            <w:tcMar>
              <w:top w:w="80" w:type="dxa"/>
              <w:bottom w:w="80" w:type="dxa"/>
              <w:left w:w="100" w:type="dxa"/>
              <w:right w:w="100" w:type="dxa"/>
            </w:tcMar>
          </w:tcPr>
          <w:p>
            <w:r>
              <w:rPr>
                <w:rFonts w:ascii="Times New Roman" w:hAnsi="Times New Roman"/>
                <w:b/>
                <w:color w:val="000000"/>
                <w:sz w:val="18"/>
              </w:rPr>
              <w:t>Target: &lt;15ms</w:t>
            </w:r>
          </w:p>
        </w:tc>
        <w:tc>
          <w:tcPr>
            <w:tcW w:type="dxa" w:w="2160"/>
            <w:shd w:val="clear" w:color="auto" w:fill="E0F2FE"/>
            <w:tcMar>
              <w:top w:w="80" w:type="dxa"/>
              <w:bottom w:w="80" w:type="dxa"/>
              <w:left w:w="100" w:type="dxa"/>
              <w:right w:w="100" w:type="dxa"/>
            </w:tcMar>
          </w:tcPr>
          <w:p>
            <w:r>
              <w:rPr>
                <w:rFonts w:ascii="Times New Roman" w:hAnsi="Times New Roman"/>
                <w:b/>
                <w:color w:val="000000"/>
                <w:sz w:val="18"/>
              </w:rPr>
              <w:t>AST: 1.55ms | Risk: 1.01ms</w:t>
            </w:r>
          </w:p>
        </w:tc>
        <w:tc>
          <w:tcPr>
            <w:tcW w:type="dxa" w:w="2160"/>
            <w:shd w:val="clear" w:color="auto" w:fill="E0F2FE"/>
            <w:tcMar>
              <w:top w:w="80" w:type="dxa"/>
              <w:bottom w:w="80" w:type="dxa"/>
              <w:left w:w="100" w:type="dxa"/>
              <w:right w:w="100" w:type="dxa"/>
            </w:tcMar>
          </w:tcPr>
          <w:p>
            <w:r>
              <w:rPr>
                <w:rFonts w:ascii="Times New Roman" w:hAnsi="Times New Roman"/>
                <w:b/>
                <w:color w:val="000000"/>
                <w:sz w:val="18"/>
              </w:rPr>
              <w:t>Noise: 0.04 ms</w:t>
            </w:r>
          </w:p>
        </w:tc>
        <w:tc>
          <w:tcPr>
            <w:tcW w:type="dxa" w:w="2160"/>
            <w:shd w:val="clear" w:color="auto" w:fill="E0F2FE"/>
            <w:tcMar>
              <w:top w:w="80" w:type="dxa"/>
              <w:bottom w:w="80" w:type="dxa"/>
              <w:left w:w="100" w:type="dxa"/>
              <w:right w:w="100" w:type="dxa"/>
            </w:tcMar>
          </w:tcPr>
          <w:p>
            <w:r>
              <w:rPr>
                <w:rFonts w:ascii="Times New Roman" w:hAnsi="Times New Roman"/>
                <w:b/>
                <w:color w:val="000000"/>
                <w:sz w:val="18"/>
              </w:rPr>
              <w:t>TOTAL: 2.598 ms</w:t>
            </w:r>
          </w:p>
        </w:tc>
      </w:tr>
    </w:tbl>
    <w:p>
      <w:pPr>
        <w:spacing w:after="200"/>
      </w:pPr>
    </w:p>
    <w:p>
      <w:pPr>
        <w:spacing w:line="276" w:lineRule="auto" w:after="120"/>
        <w:jc w:val="both"/>
      </w:pPr>
      <w:r>
        <w:rPr>
          <w:rFonts w:ascii="Times New Roman" w:hAnsi="Times New Roman"/>
          <w:color w:val="000000"/>
          <w:sz w:val="24"/>
        </w:rPr>
        <w:t>Benchmark 3: Middleware Execution Latency Overhead. Across 100 continuous executions, total proxy middleware overhead averaged 2.598 milliseconds (AST Parsing: 1.546 ms, Inference Risk Tracking: 1.009 ms, Laplace Noise Generation: 0.043 ms), fully satisfying the sub-15 millisecond operational target.</w:t>
      </w:r>
    </w:p>
    <w:p>
      <w:r>
        <w:br w:type="page"/>
      </w:r>
    </w:p>
    <w:p>
      <w:pPr>
        <w:spacing w:before="360" w:after="160" w:line="360" w:lineRule="auto"/>
      </w:pPr>
      <w:r>
        <w:rPr>
          <w:rFonts w:ascii="Times New Roman" w:hAnsi="Times New Roman"/>
          <w:b/>
          <w:color w:val="000000"/>
          <w:sz w:val="28"/>
        </w:rPr>
        <w:t>5. CONCLUSION AND FUTURE WORK</w:t>
      </w:r>
    </w:p>
    <w:p>
      <w:pPr>
        <w:spacing w:line="276" w:lineRule="auto" w:after="120"/>
        <w:jc w:val="both"/>
      </w:pPr>
      <w:r>
        <w:rPr>
          <w:rFonts w:ascii="Times New Roman" w:hAnsi="Times New Roman"/>
          <w:color w:val="000000"/>
          <w:sz w:val="24"/>
        </w:rPr>
        <w:t>This project successfully designed, implemented, and empirically validated AP3 (Adaptive Privacy-Preserving Proxy), resolving the critical challenge of dynamic inference and triangulation risk in relational statistical databases. Key achievements accomplished for Review 2 include:</w:t>
      </w:r>
    </w:p>
    <w:p>
      <w:pPr>
        <w:pStyle w:val="ListBullet"/>
        <w:spacing w:line="276" w:lineRule="auto" w:after="80"/>
        <w:jc w:val="both"/>
      </w:pPr>
      <w:r>
        <w:rPr>
          <w:rFonts w:ascii="Times New Roman" w:hAnsi="Times New Roman"/>
          <w:b/>
          <w:sz w:val="24"/>
        </w:rPr>
        <w:t xml:space="preserve">Mathematical Formulation &amp; Proof: </w:t>
      </w:r>
      <w:r>
        <w:rPr>
          <w:rFonts w:ascii="Times New Roman" w:hAnsi="Times New Roman"/>
          <w:sz w:val="24"/>
        </w:rPr>
        <w:t>Established the continuous triangulation risk metric r(u, q) in [0, 1) and operationalized the risk-to-ε coupling law ε_eff = ε_role · (1 - r)^γ under formal sequential composition.</w:t>
      </w:r>
    </w:p>
    <w:p>
      <w:pPr>
        <w:pStyle w:val="ListBullet"/>
        <w:spacing w:line="276" w:lineRule="auto" w:after="80"/>
        <w:jc w:val="both"/>
      </w:pPr>
      <w:r>
        <w:rPr>
          <w:rFonts w:ascii="Times New Roman" w:hAnsi="Times New Roman"/>
          <w:b/>
          <w:sz w:val="24"/>
        </w:rPr>
        <w:t xml:space="preserve">Elimination of Denial Side Channels: </w:t>
      </w:r>
      <w:r>
        <w:rPr>
          <w:rFonts w:ascii="Times New Roman" w:hAnsi="Times New Roman"/>
          <w:sz w:val="24"/>
        </w:rPr>
        <w:t>Engineered the non-leaking graceful degradation schedule, completely replacing hard query denial (HTTP 403/429) with monotonically increasing Laplace perturbation.</w:t>
      </w:r>
    </w:p>
    <w:p>
      <w:pPr>
        <w:pStyle w:val="ListBullet"/>
        <w:spacing w:line="276" w:lineRule="auto" w:after="80"/>
        <w:jc w:val="both"/>
      </w:pPr>
      <w:r>
        <w:rPr>
          <w:rFonts w:ascii="Times New Roman" w:hAnsi="Times New Roman"/>
          <w:b/>
          <w:sz w:val="24"/>
        </w:rPr>
        <w:t xml:space="preserve">Full Stack Realization: </w:t>
      </w:r>
      <w:r>
        <w:rPr>
          <w:rFonts w:ascii="Times New Roman" w:hAnsi="Times New Roman"/>
          <w:sz w:val="24"/>
        </w:rPr>
        <w:t>Constructed the complete FastAPI middleware proxy over PostgreSQL, accompanied by an interactive browser dashboard and dark-mode OpenAPI Swagger explorer.</w:t>
      </w:r>
    </w:p>
    <w:p>
      <w:pPr>
        <w:pStyle w:val="ListBullet"/>
        <w:spacing w:line="276" w:lineRule="auto" w:after="80"/>
        <w:jc w:val="both"/>
      </w:pPr>
      <w:r>
        <w:rPr>
          <w:rFonts w:ascii="Times New Roman" w:hAnsi="Times New Roman"/>
          <w:b/>
          <w:sz w:val="24"/>
        </w:rPr>
        <w:t xml:space="preserve">High-Performance Verification: </w:t>
      </w:r>
      <w:r>
        <w:rPr>
          <w:rFonts w:ascii="Times New Roman" w:hAnsi="Times New Roman"/>
          <w:sz w:val="24"/>
        </w:rPr>
        <w:t>Achieved an average middleware overhead latency of only 2.59 ms per query while demonstrating robust suppression of targeted adversarial reconstruction attacks.</w:t>
      </w:r>
    </w:p>
    <w:p>
      <w:pPr>
        <w:spacing w:line="276" w:lineRule="auto" w:after="120"/>
        <w:jc w:val="both"/>
      </w:pPr>
      <w:r>
        <w:rPr>
          <w:rFonts w:ascii="Times New Roman" w:hAnsi="Times New Roman"/>
          <w:color w:val="000000"/>
          <w:sz w:val="24"/>
        </w:rPr>
        <w:t>Future Work towards Review 3 and Final Submission will focus on: (1) integrating advanced composition accounting via Rényi Differential Privacy (RDP) and the Gaussian mechanism; (2) extending subpopulation predicate tracking across multi-table foreign-key JOIN relationships; and (3) preparing a formal research manuscript for submission to a Scopus-indexed conference/journal.</w:t>
      </w:r>
    </w:p>
    <w:p>
      <w:pPr>
        <w:spacing w:after="280"/>
      </w:pPr>
    </w:p>
    <w:p>
      <w:pPr>
        <w:spacing w:before="360" w:after="160" w:line="360" w:lineRule="auto"/>
      </w:pPr>
      <w:r>
        <w:rPr>
          <w:rFonts w:ascii="Times New Roman" w:hAnsi="Times New Roman"/>
          <w:b/>
          <w:color w:val="000000"/>
          <w:sz w:val="28"/>
        </w:rPr>
        <w:t>6. REFERENCES</w:t>
      </w:r>
    </w:p>
    <w:p>
      <w:pPr>
        <w:spacing w:line="276" w:lineRule="auto" w:after="120"/>
        <w:jc w:val="both"/>
      </w:pPr>
      <w:r>
        <w:rPr>
          <w:rFonts w:ascii="Times New Roman" w:hAnsi="Times New Roman"/>
          <w:color w:val="000000"/>
          <w:sz w:val="22"/>
        </w:rPr>
        <w:t>[1] V. Madhusudhanan, S. Sengupta, and P. Sharma, "PRiDe: Contextual Adaptive Differential Privacy with Access Control for Digital Twins," ACM Transactions on Intelligent Systems and Technology (TIST), vol. 17, no. 2, pp. 1-24, 2026.</w:t>
      </w:r>
    </w:p>
    <w:p>
      <w:pPr>
        <w:spacing w:line="276" w:lineRule="auto" w:after="120"/>
        <w:jc w:val="both"/>
      </w:pPr>
      <w:r>
        <w:rPr>
          <w:rFonts w:ascii="Times New Roman" w:hAnsi="Times New Roman"/>
          <w:color w:val="000000"/>
          <w:sz w:val="22"/>
        </w:rPr>
        <w:t>[2] N. Cascio, G. P. Fung, and E. Bertino, "DP4SQL: Differentially Private SQL with Flexible and Policy-Driven Privacy Enforcement," Proceedings of the VLDB Endowment, vol. 19, no. 4, pp. 312-325, 2026.</w:t>
      </w:r>
    </w:p>
    <w:p>
      <w:pPr>
        <w:spacing w:line="276" w:lineRule="auto" w:after="120"/>
        <w:jc w:val="both"/>
      </w:pPr>
      <w:r>
        <w:rPr>
          <w:rFonts w:ascii="Times New Roman" w:hAnsi="Times New Roman"/>
          <w:color w:val="000000"/>
          <w:sz w:val="22"/>
        </w:rPr>
        <w:t>[3] A. Majeed, M. Hwang, and S. Kim, "Sensitivity-Aware, PSO-Driven Customized-Budget ε-Differential Privacy for High-Dimensional Data," IEEE Transactions on Knowledge and Data Engineering (TKDE), vol. 38, no. 1, pp. 112-127, 2026.</w:t>
      </w:r>
    </w:p>
    <w:p>
      <w:pPr>
        <w:spacing w:line="276" w:lineRule="auto" w:after="120"/>
        <w:jc w:val="both"/>
      </w:pPr>
      <w:r>
        <w:rPr>
          <w:rFonts w:ascii="Times New Roman" w:hAnsi="Times New Roman"/>
          <w:color w:val="000000"/>
          <w:sz w:val="22"/>
        </w:rPr>
        <w:t>[4] R. Guerra-Balboa, M. Humbert, and F. Boix, "Understanding Disclosure Risk in Differential Privacy: Reconstruction Advantage and Bound Tightness," IEEE Transactions on Information Forensics and Security, vol. 21, pp. 450-465, 2026.</w:t>
      </w:r>
    </w:p>
    <w:p>
      <w:pPr>
        <w:spacing w:line="276" w:lineRule="auto" w:after="120"/>
        <w:jc w:val="both"/>
      </w:pPr>
      <w:r>
        <w:rPr>
          <w:rFonts w:ascii="Times New Roman" w:hAnsi="Times New Roman"/>
          <w:color w:val="000000"/>
          <w:sz w:val="22"/>
        </w:rPr>
        <w:t>[5] X. Yu, J. Zhang, and X. Xiao, "DOP-SQL: Down-Neighborhood Optimal Differentially Private SQL Execution on Relational Databases," Proceedings of the VLDB Endowment, vol. 17, no. 6, pp. 1380-1393, 2024.</w:t>
      </w:r>
    </w:p>
    <w:p>
      <w:pPr>
        <w:spacing w:line="276" w:lineRule="auto" w:after="120"/>
        <w:jc w:val="both"/>
      </w:pPr>
      <w:r>
        <w:rPr>
          <w:rFonts w:ascii="Times New Roman" w:hAnsi="Times New Roman"/>
          <w:color w:val="000000"/>
          <w:sz w:val="22"/>
        </w:rPr>
        <w:t>[6] K. Aljaedi, "Triggering Differential Privacy to Counter Data Triangulation and Inference Attacks in Statistical Databases," in Proc. IEEE International Conference on Computing and Information Technology (ICCIT), pp. 88-93, 2022.</w:t>
      </w:r>
    </w:p>
    <w:p>
      <w:pPr>
        <w:spacing w:line="276" w:lineRule="auto" w:after="120"/>
        <w:jc w:val="both"/>
      </w:pPr>
      <w:r>
        <w:rPr>
          <w:rFonts w:ascii="Times New Roman" w:hAnsi="Times New Roman"/>
          <w:color w:val="000000"/>
          <w:sz w:val="22"/>
        </w:rPr>
        <w:t>[7] C. Dwork, "Differential Privacy," in Automata, Languages and Programming (ICALP), Lecture Notes in Computer Science, vol. 4052, Springer, pp. 1-12, 2006.</w:t>
      </w:r>
    </w:p>
    <w:p>
      <w:pPr>
        <w:spacing w:line="276" w:lineRule="auto" w:after="120"/>
        <w:jc w:val="both"/>
      </w:pPr>
      <w:r>
        <w:rPr>
          <w:rFonts w:ascii="Times New Roman" w:hAnsi="Times New Roman"/>
          <w:color w:val="000000"/>
          <w:sz w:val="22"/>
        </w:rPr>
        <w:t>[8] C. Dwork, A. Roth, "The Algorithmic Foundations of Differential Privacy," Foundations and Trends in Theoretical Computer Science, vol. 9, no. 3-4, pp. 211-407, 2014.</w:t>
      </w:r>
    </w:p>
    <w:p>
      <w:pPr>
        <w:spacing w:line="276" w:lineRule="auto" w:after="120"/>
        <w:jc w:val="both"/>
      </w:pPr>
      <w:r>
        <w:rPr>
          <w:rFonts w:ascii="Times New Roman" w:hAnsi="Times New Roman"/>
          <w:color w:val="000000"/>
          <w:sz w:val="22"/>
        </w:rPr>
        <w:t>[9] N. Johnson, J. P. Near, and D. X. Song, "Towards Practical Differential Privacy for SQL Queries," Proceedings of the VLDB Endowment, vol. 11, no. 5, pp. 526-539, 2018.</w:t>
      </w:r>
    </w:p>
    <w:p>
      <w:pPr>
        <w:spacing w:line="276" w:lineRule="auto" w:after="120"/>
        <w:jc w:val="both"/>
      </w:pPr>
      <w:r>
        <w:rPr>
          <w:rFonts w:ascii="Times New Roman" w:hAnsi="Times New Roman"/>
          <w:color w:val="000000"/>
          <w:sz w:val="22"/>
        </w:rPr>
        <w:t>[10] R. N. Wilson, C. Y. Zhang, W. Lam, and U. Deshpande, "Differentially Private SQL with Bounded User Contribution," Proceedings on Privacy Enhancing Technologies (PoPETs), vol. 2020, no. 2, pp. 230-250,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