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3F528E">
              <w:rPr>
                <w:rFonts w:cs="Arial"/>
                <w:b/>
                <w:sz w:val="20"/>
              </w:rPr>
            </w:r>
            <w:r w:rsidR="003F528E">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2879EA9F"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B1594B">
              <w:rPr>
                <w:rFonts w:cs="Arial"/>
                <w:b/>
                <w:sz w:val="20"/>
              </w:rPr>
              <w:t>02</w:t>
            </w:r>
            <w:r w:rsidR="00835F9B">
              <w:rPr>
                <w:rFonts w:cs="Arial"/>
                <w:b/>
                <w:sz w:val="20"/>
              </w:rPr>
              <w:t xml:space="preserve"> MOD </w:t>
            </w:r>
            <w:r w:rsidR="008D3BF7">
              <w:rPr>
                <w:rFonts w:cs="Arial"/>
                <w:b/>
                <w:sz w:val="20"/>
              </w:rPr>
              <w:t>8</w:t>
            </w:r>
            <w:bookmarkStart w:id="5" w:name="_GoBack"/>
            <w:bookmarkEnd w:id="5"/>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3F528E">
              <w:rPr>
                <w:rFonts w:cs="Arial"/>
                <w:b/>
                <w:sz w:val="20"/>
              </w:rPr>
            </w:r>
            <w:r w:rsidR="003F528E">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3F528E">
              <w:rPr>
                <w:rFonts w:eastAsia="Times New Roman" w:cs="Arial"/>
                <w:sz w:val="20"/>
                <w:szCs w:val="20"/>
                <w:lang w:eastAsia="nb-NO"/>
              </w:rPr>
            </w:r>
            <w:r w:rsidR="003F528E">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3F528E">
              <w:rPr>
                <w:rFonts w:eastAsia="Times New Roman" w:cs="Arial"/>
                <w:sz w:val="20"/>
                <w:szCs w:val="20"/>
                <w:lang w:eastAsia="nb-NO"/>
              </w:rPr>
            </w:r>
            <w:r w:rsidR="003F528E">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3F528E">
              <w:rPr>
                <w:rFonts w:eastAsia="Times New Roman" w:cs="Arial"/>
                <w:sz w:val="20"/>
                <w:szCs w:val="20"/>
                <w:lang w:eastAsia="nb-NO"/>
              </w:rPr>
            </w:r>
            <w:r w:rsidR="003F528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3F528E">
              <w:rPr>
                <w:rFonts w:eastAsia="Times New Roman" w:cs="Arial"/>
                <w:sz w:val="20"/>
                <w:szCs w:val="20"/>
                <w:lang w:eastAsia="nb-NO"/>
              </w:rPr>
            </w:r>
            <w:r w:rsidR="003F528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3F528E">
              <w:rPr>
                <w:rFonts w:eastAsia="Times New Roman" w:cs="Arial"/>
                <w:sz w:val="20"/>
                <w:szCs w:val="20"/>
                <w:lang w:eastAsia="nb-NO"/>
              </w:rPr>
            </w:r>
            <w:r w:rsidR="003F528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3F528E">
              <w:rPr>
                <w:rFonts w:eastAsia="Times New Roman" w:cs="Arial"/>
                <w:sz w:val="20"/>
                <w:szCs w:val="20"/>
                <w:lang w:eastAsia="nb-NO"/>
              </w:rPr>
            </w:r>
            <w:r w:rsidR="003F528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3F528E">
              <w:rPr>
                <w:rFonts w:eastAsia="Times New Roman" w:cs="Arial"/>
                <w:sz w:val="20"/>
                <w:szCs w:val="20"/>
                <w:lang w:eastAsia="nb-NO"/>
              </w:rPr>
            </w:r>
            <w:r w:rsidR="003F528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3F528E">
              <w:rPr>
                <w:rFonts w:eastAsia="Times New Roman" w:cs="Arial"/>
                <w:sz w:val="20"/>
                <w:szCs w:val="20"/>
                <w:lang w:eastAsia="nb-NO"/>
              </w:rPr>
            </w:r>
            <w:r w:rsidR="003F528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3F528E">
              <w:rPr>
                <w:rFonts w:eastAsia="Times New Roman" w:cs="Arial"/>
                <w:sz w:val="20"/>
                <w:szCs w:val="20"/>
                <w:lang w:eastAsia="nb-NO"/>
              </w:rPr>
            </w:r>
            <w:r w:rsidR="003F528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3F528E">
              <w:rPr>
                <w:rFonts w:eastAsia="Times New Roman" w:cs="Arial"/>
                <w:sz w:val="20"/>
                <w:szCs w:val="20"/>
                <w:lang w:eastAsia="nb-NO"/>
              </w:rPr>
            </w:r>
            <w:r w:rsidR="003F528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3F528E">
              <w:rPr>
                <w:rFonts w:eastAsia="Times New Roman" w:cs="Arial"/>
                <w:sz w:val="20"/>
                <w:szCs w:val="20"/>
                <w:lang w:eastAsia="nb-NO"/>
              </w:rPr>
            </w:r>
            <w:r w:rsidR="003F52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3F528E">
              <w:rPr>
                <w:rFonts w:eastAsia="Times New Roman" w:cs="Arial"/>
                <w:sz w:val="20"/>
                <w:szCs w:val="20"/>
                <w:lang w:eastAsia="nb-NO"/>
              </w:rPr>
            </w:r>
            <w:r w:rsidR="003F52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3F528E">
              <w:rPr>
                <w:rFonts w:eastAsia="Times New Roman" w:cs="Arial"/>
                <w:sz w:val="20"/>
                <w:szCs w:val="20"/>
                <w:lang w:eastAsia="nb-NO"/>
              </w:rPr>
            </w:r>
            <w:r w:rsidR="003F52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3F528E">
              <w:rPr>
                <w:rFonts w:eastAsia="Times New Roman" w:cs="Arial"/>
                <w:sz w:val="20"/>
                <w:szCs w:val="20"/>
                <w:lang w:eastAsia="nb-NO"/>
              </w:rPr>
            </w:r>
            <w:r w:rsidR="003F52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3F528E">
              <w:rPr>
                <w:rFonts w:eastAsia="Times New Roman" w:cs="Arial"/>
                <w:sz w:val="20"/>
                <w:szCs w:val="20"/>
                <w:lang w:eastAsia="nb-NO"/>
              </w:rPr>
            </w:r>
            <w:r w:rsidR="003F52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3F528E">
              <w:rPr>
                <w:rFonts w:eastAsia="Times New Roman" w:cs="Arial"/>
                <w:sz w:val="20"/>
                <w:szCs w:val="20"/>
                <w:lang w:eastAsia="nb-NO"/>
              </w:rPr>
            </w:r>
            <w:r w:rsidR="003F52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3F528E">
              <w:rPr>
                <w:rFonts w:eastAsia="Times New Roman" w:cs="Arial"/>
                <w:sz w:val="20"/>
                <w:szCs w:val="20"/>
                <w:lang w:eastAsia="nb-NO"/>
              </w:rPr>
            </w:r>
            <w:r w:rsidR="003F52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3F528E">
              <w:rPr>
                <w:rFonts w:eastAsia="Times New Roman" w:cs="Arial"/>
                <w:sz w:val="20"/>
                <w:szCs w:val="20"/>
                <w:lang w:eastAsia="nb-NO"/>
              </w:rPr>
            </w:r>
            <w:r w:rsidR="003F52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3F528E">
              <w:rPr>
                <w:rFonts w:eastAsia="Times New Roman" w:cs="Arial"/>
                <w:sz w:val="20"/>
                <w:szCs w:val="20"/>
                <w:lang w:eastAsia="nb-NO"/>
              </w:rPr>
            </w:r>
            <w:r w:rsidR="003F52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3F528E">
              <w:rPr>
                <w:rFonts w:eastAsia="Times New Roman" w:cs="Arial"/>
                <w:sz w:val="20"/>
                <w:szCs w:val="20"/>
                <w:lang w:eastAsia="nb-NO"/>
              </w:rPr>
            </w:r>
            <w:r w:rsidR="003F52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3F528E">
              <w:rPr>
                <w:rFonts w:eastAsia="Times New Roman" w:cs="Arial"/>
                <w:sz w:val="20"/>
                <w:szCs w:val="20"/>
                <w:lang w:eastAsia="nb-NO"/>
              </w:rPr>
            </w:r>
            <w:r w:rsidR="003F52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3F528E">
              <w:rPr>
                <w:rFonts w:eastAsia="Times New Roman" w:cs="Arial"/>
                <w:sz w:val="20"/>
                <w:szCs w:val="20"/>
                <w:lang w:eastAsia="nb-NO"/>
              </w:rPr>
            </w:r>
            <w:r w:rsidR="003F528E">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3F528E">
              <w:rPr>
                <w:rFonts w:eastAsia="Times New Roman" w:cs="Arial"/>
                <w:b/>
                <w:sz w:val="20"/>
                <w:szCs w:val="20"/>
                <w:lang w:eastAsia="nb-NO"/>
              </w:rPr>
            </w:r>
            <w:r w:rsidR="003F528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3F528E">
              <w:rPr>
                <w:rFonts w:eastAsia="Times New Roman" w:cs="Arial"/>
                <w:sz w:val="20"/>
                <w:szCs w:val="20"/>
                <w:lang w:eastAsia="nb-NO"/>
              </w:rPr>
            </w:r>
            <w:r w:rsidR="003F52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3F528E">
              <w:rPr>
                <w:rFonts w:eastAsia="Times New Roman" w:cs="Arial"/>
                <w:b/>
                <w:sz w:val="20"/>
                <w:szCs w:val="20"/>
                <w:lang w:eastAsia="nb-NO"/>
              </w:rPr>
            </w:r>
            <w:r w:rsidR="003F528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3F528E">
              <w:rPr>
                <w:rFonts w:eastAsia="Times New Roman" w:cs="Arial"/>
                <w:sz w:val="20"/>
                <w:szCs w:val="20"/>
                <w:lang w:eastAsia="nb-NO"/>
              </w:rPr>
            </w:r>
            <w:r w:rsidR="003F52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3F528E">
              <w:rPr>
                <w:rFonts w:eastAsia="Times New Roman" w:cs="Arial"/>
                <w:b/>
                <w:sz w:val="20"/>
                <w:szCs w:val="20"/>
                <w:lang w:eastAsia="nb-NO"/>
              </w:rPr>
            </w:r>
            <w:r w:rsidR="003F528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3F528E">
              <w:rPr>
                <w:rFonts w:eastAsia="Times New Roman" w:cs="Arial"/>
                <w:sz w:val="20"/>
                <w:szCs w:val="20"/>
                <w:lang w:eastAsia="nb-NO"/>
              </w:rPr>
            </w:r>
            <w:r w:rsidR="003F52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3F528E">
              <w:rPr>
                <w:rFonts w:eastAsia="Times New Roman" w:cs="Arial"/>
                <w:b/>
                <w:sz w:val="20"/>
                <w:szCs w:val="20"/>
                <w:lang w:eastAsia="nb-NO"/>
              </w:rPr>
            </w:r>
            <w:r w:rsidR="003F528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3F528E">
              <w:rPr>
                <w:rFonts w:eastAsia="Times New Roman" w:cs="Arial"/>
                <w:sz w:val="20"/>
                <w:szCs w:val="20"/>
                <w:lang w:eastAsia="nb-NO"/>
              </w:rPr>
            </w:r>
            <w:r w:rsidR="003F52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3F528E">
              <w:rPr>
                <w:rFonts w:eastAsia="Times New Roman" w:cs="Arial"/>
                <w:b/>
                <w:sz w:val="20"/>
                <w:szCs w:val="20"/>
                <w:lang w:eastAsia="nb-NO"/>
              </w:rPr>
            </w:r>
            <w:r w:rsidR="003F528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3F528E">
              <w:rPr>
                <w:rFonts w:eastAsia="Times New Roman" w:cs="Arial"/>
                <w:sz w:val="20"/>
                <w:szCs w:val="20"/>
                <w:lang w:eastAsia="nb-NO"/>
              </w:rPr>
            </w:r>
            <w:r w:rsidR="003F52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3F528E">
              <w:rPr>
                <w:rFonts w:eastAsia="Times New Roman" w:cs="Arial"/>
                <w:b/>
                <w:sz w:val="20"/>
                <w:szCs w:val="20"/>
                <w:lang w:eastAsia="nb-NO"/>
              </w:rPr>
            </w:r>
            <w:r w:rsidR="003F528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3F528E">
              <w:rPr>
                <w:rFonts w:eastAsia="Times New Roman" w:cs="Arial"/>
                <w:sz w:val="20"/>
                <w:szCs w:val="20"/>
                <w:lang w:eastAsia="nb-NO"/>
              </w:rPr>
            </w:r>
            <w:r w:rsidR="003F52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3F528E">
              <w:rPr>
                <w:rFonts w:eastAsia="Times New Roman" w:cs="Arial"/>
                <w:b/>
                <w:sz w:val="20"/>
                <w:szCs w:val="20"/>
                <w:lang w:eastAsia="nb-NO"/>
              </w:rPr>
            </w:r>
            <w:r w:rsidR="003F528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3F528E">
              <w:rPr>
                <w:rFonts w:eastAsia="Times New Roman" w:cs="Arial"/>
                <w:sz w:val="20"/>
                <w:szCs w:val="20"/>
                <w:lang w:eastAsia="nb-NO"/>
              </w:rPr>
            </w:r>
            <w:r w:rsidR="003F52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3F528E">
              <w:rPr>
                <w:rFonts w:eastAsia="Times New Roman" w:cs="Arial"/>
                <w:b/>
                <w:sz w:val="20"/>
                <w:szCs w:val="20"/>
                <w:lang w:eastAsia="nb-NO"/>
              </w:rPr>
            </w:r>
            <w:r w:rsidR="003F528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3F528E">
              <w:rPr>
                <w:rFonts w:eastAsia="Times New Roman" w:cs="Arial"/>
                <w:sz w:val="20"/>
                <w:szCs w:val="20"/>
                <w:lang w:eastAsia="nb-NO"/>
              </w:rPr>
            </w:r>
            <w:r w:rsidR="003F528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3F528E">
              <w:rPr>
                <w:rFonts w:eastAsia="Times New Roman" w:cs="Arial"/>
                <w:b/>
                <w:sz w:val="20"/>
                <w:szCs w:val="20"/>
                <w:lang w:eastAsia="nb-NO"/>
              </w:rPr>
            </w:r>
            <w:r w:rsidR="003F528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FØLGENDE BLE TESTET :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3F528E">
              <w:rPr>
                <w:rFonts w:ascii="Arial" w:eastAsia="Times New Roman" w:hAnsi="Arial" w:cs="Arial"/>
                <w:b/>
                <w:sz w:val="20"/>
                <w:szCs w:val="20"/>
                <w:lang w:eastAsia="nb-NO"/>
              </w:rPr>
            </w:r>
            <w:r w:rsidR="003F528E">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3F528E">
              <w:rPr>
                <w:rFonts w:ascii="Arial" w:eastAsia="Times New Roman" w:hAnsi="Arial" w:cs="Arial"/>
                <w:b/>
                <w:sz w:val="20"/>
                <w:szCs w:val="20"/>
                <w:lang w:eastAsia="nb-NO"/>
              </w:rPr>
            </w:r>
            <w:r w:rsidR="003F528E">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76920" w14:textId="77777777" w:rsidR="003F528E" w:rsidRDefault="003F528E" w:rsidP="00D561C1">
      <w:pPr>
        <w:spacing w:after="0" w:line="240" w:lineRule="auto"/>
      </w:pPr>
      <w:r>
        <w:separator/>
      </w:r>
    </w:p>
  </w:endnote>
  <w:endnote w:type="continuationSeparator" w:id="0">
    <w:p w14:paraId="647192BB" w14:textId="77777777" w:rsidR="003F528E" w:rsidRDefault="003F528E"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xml:space="preserve">Doc  </w:t>
    </w:r>
    <w:r w:rsidR="00032035" w:rsidRPr="00B51D2E">
      <w:rPr>
        <w:rFonts w:ascii="Arial" w:hAnsi="Arial" w:cs="Arial"/>
        <w:sz w:val="12"/>
        <w:szCs w:val="12"/>
      </w:rPr>
      <w:t>|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3F528E"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23EFD" w14:textId="77777777" w:rsidR="003F528E" w:rsidRDefault="003F528E" w:rsidP="00D561C1">
      <w:pPr>
        <w:spacing w:after="0" w:line="240" w:lineRule="auto"/>
      </w:pPr>
      <w:r>
        <w:separator/>
      </w:r>
    </w:p>
  </w:footnote>
  <w:footnote w:type="continuationSeparator" w:id="0">
    <w:p w14:paraId="7FDA3445" w14:textId="77777777" w:rsidR="003F528E" w:rsidRDefault="003F528E"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20228B"/>
    <w:rsid w:val="002452BF"/>
    <w:rsid w:val="00254D0A"/>
    <w:rsid w:val="00255CED"/>
    <w:rsid w:val="002736B6"/>
    <w:rsid w:val="00292776"/>
    <w:rsid w:val="002C58DA"/>
    <w:rsid w:val="002D17A0"/>
    <w:rsid w:val="002D76A3"/>
    <w:rsid w:val="002F21F6"/>
    <w:rsid w:val="00307F94"/>
    <w:rsid w:val="00345DB4"/>
    <w:rsid w:val="003C3790"/>
    <w:rsid w:val="003D077A"/>
    <w:rsid w:val="003D7280"/>
    <w:rsid w:val="003F528E"/>
    <w:rsid w:val="004277E2"/>
    <w:rsid w:val="004E4265"/>
    <w:rsid w:val="00502EE7"/>
    <w:rsid w:val="00505138"/>
    <w:rsid w:val="00553F16"/>
    <w:rsid w:val="00576B39"/>
    <w:rsid w:val="005A284D"/>
    <w:rsid w:val="005F6992"/>
    <w:rsid w:val="006461E0"/>
    <w:rsid w:val="00695B07"/>
    <w:rsid w:val="006A27AC"/>
    <w:rsid w:val="006B266D"/>
    <w:rsid w:val="006C5A78"/>
    <w:rsid w:val="006D76B6"/>
    <w:rsid w:val="00764890"/>
    <w:rsid w:val="00767C4C"/>
    <w:rsid w:val="00785464"/>
    <w:rsid w:val="00787476"/>
    <w:rsid w:val="00794142"/>
    <w:rsid w:val="007B1D36"/>
    <w:rsid w:val="007E6F33"/>
    <w:rsid w:val="007F3E0B"/>
    <w:rsid w:val="0081185A"/>
    <w:rsid w:val="00821F49"/>
    <w:rsid w:val="00826E16"/>
    <w:rsid w:val="00835F9B"/>
    <w:rsid w:val="008C0854"/>
    <w:rsid w:val="008D3BF7"/>
    <w:rsid w:val="008E6CD9"/>
    <w:rsid w:val="0090333B"/>
    <w:rsid w:val="00A25164"/>
    <w:rsid w:val="00A44766"/>
    <w:rsid w:val="00AB479C"/>
    <w:rsid w:val="00AD5579"/>
    <w:rsid w:val="00AF6F60"/>
    <w:rsid w:val="00AF73E6"/>
    <w:rsid w:val="00B01910"/>
    <w:rsid w:val="00B072A0"/>
    <w:rsid w:val="00B124BC"/>
    <w:rsid w:val="00B1594B"/>
    <w:rsid w:val="00B168F6"/>
    <w:rsid w:val="00B24EA8"/>
    <w:rsid w:val="00B51D2E"/>
    <w:rsid w:val="00B9683F"/>
    <w:rsid w:val="00BF463C"/>
    <w:rsid w:val="00BF75C5"/>
    <w:rsid w:val="00C34DDB"/>
    <w:rsid w:val="00C56080"/>
    <w:rsid w:val="00C7280E"/>
    <w:rsid w:val="00CA23A1"/>
    <w:rsid w:val="00D214E9"/>
    <w:rsid w:val="00D36973"/>
    <w:rsid w:val="00D43BDF"/>
    <w:rsid w:val="00D43DB0"/>
    <w:rsid w:val="00D55D3E"/>
    <w:rsid w:val="00D561C1"/>
    <w:rsid w:val="00D83BD0"/>
    <w:rsid w:val="00D921E6"/>
    <w:rsid w:val="00DC1BEC"/>
    <w:rsid w:val="00DC6265"/>
    <w:rsid w:val="00E0440C"/>
    <w:rsid w:val="00E31151"/>
    <w:rsid w:val="00EB6E85"/>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A27A0E-4EB5-41A8-9514-344FCFA5E12C}">
  <ds:schemaRefs>
    <ds:schemaRef ds:uri="http://schemas.openxmlformats.org/officeDocument/2006/bibliography"/>
  </ds:schemaRefs>
</ds:datastoreItem>
</file>

<file path=customXml/itemProps2.xml><?xml version="1.0" encoding="utf-8"?>
<ds:datastoreItem xmlns:ds="http://schemas.openxmlformats.org/officeDocument/2006/customXml" ds:itemID="{3332F8FA-11AA-474E-8669-042F8F7D539F}"/>
</file>

<file path=customXml/itemProps3.xml><?xml version="1.0" encoding="utf-8"?>
<ds:datastoreItem xmlns:ds="http://schemas.openxmlformats.org/officeDocument/2006/customXml" ds:itemID="{4406531C-F30A-42C2-9CD0-3973A7A00D8E}"/>
</file>

<file path=customXml/itemProps4.xml><?xml version="1.0" encoding="utf-8"?>
<ds:datastoreItem xmlns:ds="http://schemas.openxmlformats.org/officeDocument/2006/customXml" ds:itemID="{C1EB2DF7-DC45-4D41-A304-8D9F0BF31016}"/>
</file>

<file path=docProps/app.xml><?xml version="1.0" encoding="utf-8"?>
<Properties xmlns="http://schemas.openxmlformats.org/officeDocument/2006/extended-properties" xmlns:vt="http://schemas.openxmlformats.org/officeDocument/2006/docPropsVTypes">
  <Template>01. Kontrollskjema Brann - SK2017 Honeywell rev4.5</Template>
  <TotalTime>1</TotalTime>
  <Pages>1</Pages>
  <Words>865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4</cp:revision>
  <cp:lastPrinted>2018-01-11T14:09:00Z</cp:lastPrinted>
  <dcterms:created xsi:type="dcterms:W3CDTF">2020-05-24T12:46:00Z</dcterms:created>
  <dcterms:modified xsi:type="dcterms:W3CDTF">2020-05-24T12:51:00Z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1962900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