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CC15" w14:textId="77777777" w:rsidR="00F95C34" w:rsidRPr="00F95C34" w:rsidRDefault="00F95C34" w:rsidP="00F95C34">
      <w:pPr>
        <w:rPr>
          <w:b/>
          <w:bCs/>
          <w:sz w:val="36"/>
          <w:szCs w:val="36"/>
        </w:rPr>
      </w:pPr>
      <w:r w:rsidRPr="00F95C34">
        <w:rPr>
          <w:b/>
          <w:bCs/>
          <w:sz w:val="36"/>
          <w:szCs w:val="36"/>
        </w:rPr>
        <w:t>Analysis Plan - ERP016572</w:t>
      </w:r>
    </w:p>
    <w:p w14:paraId="37C60DC2" w14:textId="77777777" w:rsidR="00F95C34" w:rsidRPr="00F95C34" w:rsidRDefault="00F95C34" w:rsidP="00F95C34">
      <w:r w:rsidRPr="00F95C34">
        <w:rPr>
          <w:b/>
          <w:bCs/>
        </w:rPr>
        <w:t>Study Accession:</w:t>
      </w:r>
      <w:r w:rsidRPr="00F95C34">
        <w:t xml:space="preserve"> ERP016572 (SRA </w:t>
      </w:r>
      <w:proofErr w:type="spellStart"/>
      <w:r w:rsidRPr="00F95C34">
        <w:t>BioProject</w:t>
      </w:r>
      <w:proofErr w:type="spellEnd"/>
      <w:r w:rsidRPr="00F95C34">
        <w:t xml:space="preserve"> PRJEB14843 / </w:t>
      </w:r>
      <w:proofErr w:type="spellStart"/>
      <w:r w:rsidRPr="00F95C34">
        <w:t>Manikaran</w:t>
      </w:r>
      <w:proofErr w:type="spellEnd"/>
      <w:r w:rsidRPr="00F95C34">
        <w:t xml:space="preserve"> Sediment Matrix Curation)</w:t>
      </w:r>
    </w:p>
    <w:p w14:paraId="440A93EF" w14:textId="27C11A5F" w:rsidR="00F95C34" w:rsidRPr="00F95C34" w:rsidRDefault="00F95C34" w:rsidP="00F95C34">
      <w:r w:rsidRPr="00F95C34">
        <w:rPr>
          <w:b/>
          <w:bCs/>
        </w:rPr>
        <w:t>Study Type:</w:t>
      </w:r>
      <w:r w:rsidRPr="00F95C34">
        <w:t xml:space="preserve"> Extreme thermal </w:t>
      </w:r>
      <w:proofErr w:type="spellStart"/>
      <w:r w:rsidRPr="00F95C34">
        <w:t>viromics</w:t>
      </w:r>
      <w:proofErr w:type="spellEnd"/>
      <w:r w:rsidRPr="00F95C34">
        <w:t>, sediment microbiomics, and virus</w:t>
      </w:r>
      <w:r>
        <w:t xml:space="preserve"> </w:t>
      </w:r>
      <w:r w:rsidRPr="00F95C34">
        <w:t>host adaptive immunity</w:t>
      </w:r>
    </w:p>
    <w:p w14:paraId="64DA0419" w14:textId="40FE8694" w:rsidR="00F95C34" w:rsidRPr="00F95C34" w:rsidRDefault="00F95C34" w:rsidP="00F95C34">
      <w:r w:rsidRPr="00F95C34">
        <w:rPr>
          <w:b/>
          <w:bCs/>
        </w:rPr>
        <w:t>Sample Type:</w:t>
      </w:r>
      <w:r w:rsidRPr="00F95C34">
        <w:t xml:space="preserve"> Geothermal sediment specimen MnS3 (81</w:t>
      </w:r>
      <w:r>
        <w:t xml:space="preserve"> degree </w:t>
      </w:r>
      <w:r w:rsidRPr="00F95C34">
        <w:t>C, pH 7.1) harvested at a depth of 10 cm from thermal outflow channels</w:t>
      </w:r>
    </w:p>
    <w:p w14:paraId="1ADC2FD7" w14:textId="77777777" w:rsidR="00F95C34" w:rsidRPr="00F95C34" w:rsidRDefault="00F95C34" w:rsidP="00F95C34">
      <w:r w:rsidRPr="00F95C34">
        <w:rPr>
          <w:b/>
          <w:bCs/>
        </w:rPr>
        <w:t>Associated Publications / DOIs:</w:t>
      </w:r>
    </w:p>
    <w:p w14:paraId="0C240F25" w14:textId="77777777" w:rsidR="00F95C34" w:rsidRPr="00F95C34" w:rsidRDefault="00F95C34" w:rsidP="00F95C34">
      <w:pPr>
        <w:numPr>
          <w:ilvl w:val="0"/>
          <w:numId w:val="1"/>
        </w:numPr>
      </w:pPr>
      <w:r w:rsidRPr="00F95C34">
        <w:t>Sharma et al., 2018 (</w:t>
      </w:r>
      <w:r w:rsidRPr="00F95C34">
        <w:rPr>
          <w:i/>
          <w:iCs/>
        </w:rPr>
        <w:t xml:space="preserve">Front. </w:t>
      </w:r>
      <w:proofErr w:type="spellStart"/>
      <w:r w:rsidRPr="00F95C34">
        <w:rPr>
          <w:i/>
          <w:iCs/>
        </w:rPr>
        <w:t>Microbiol</w:t>
      </w:r>
      <w:proofErr w:type="spellEnd"/>
      <w:r w:rsidRPr="00F95C34">
        <w:rPr>
          <w:i/>
          <w:iCs/>
        </w:rPr>
        <w:t>.</w:t>
      </w:r>
      <w:r w:rsidRPr="00F95C34">
        <w:t xml:space="preserve">): </w:t>
      </w:r>
      <w:hyperlink r:id="rId5" w:tgtFrame="_blank" w:history="1">
        <w:r w:rsidRPr="00F95C34">
          <w:rPr>
            <w:rStyle w:val="Hyperlink"/>
          </w:rPr>
          <w:t>https://doi.org/10.3389/fmicb.2018.03095</w:t>
        </w:r>
      </w:hyperlink>
    </w:p>
    <w:p w14:paraId="5E65AF38" w14:textId="129904E9" w:rsidR="00F95C34" w:rsidRPr="00F95C34" w:rsidRDefault="00F95C34" w:rsidP="00F95C34">
      <w:r w:rsidRPr="00F95C34">
        <w:rPr>
          <w:b/>
          <w:bCs/>
        </w:rPr>
        <w:t>Study Design:</w:t>
      </w:r>
      <w:r w:rsidRPr="00F95C34">
        <w:t xml:space="preserve"> Targeted macro-metagenomic and microscopic profiling evaluating the structural viral diversity, predatory constraints, and host defensive adaptive responses within the hyper-thermal sediment micro-niche MnS3 of the </w:t>
      </w:r>
      <w:proofErr w:type="spellStart"/>
      <w:r w:rsidRPr="00F95C34">
        <w:t>Manikaran</w:t>
      </w:r>
      <w:proofErr w:type="spellEnd"/>
      <w:r w:rsidRPr="00F95C34">
        <w:t xml:space="preserve"> hot springs (Himachal Pradesh, India). The hyper-thermal zone is characterized by unique chemical gradients including heavy pooling of iron, manganese, arsenic, and selenium. Environmental community DNA extracted from the pooled sediment matrix was sequenced on the Illumina </w:t>
      </w:r>
      <w:proofErr w:type="spellStart"/>
      <w:r w:rsidRPr="00F95C34">
        <w:t>HiSeq</w:t>
      </w:r>
      <w:proofErr w:type="spellEnd"/>
      <w:r w:rsidRPr="00F95C34">
        <w:t xml:space="preserve"> 2000 platform to yield deep paired</w:t>
      </w:r>
      <w:r>
        <w:t xml:space="preserve"> </w:t>
      </w:r>
      <w:r w:rsidRPr="00F95C34">
        <w:t>end library datasets. Computational processing focuses on reconstructing hidden bacteriophage genomes, scanning for archaeal viral assemblies, and mapping out structural space arrays to deduce inter-habitat evolution boundaries.</w:t>
      </w:r>
    </w:p>
    <w:p w14:paraId="7DFFDAB2" w14:textId="77777777" w:rsidR="00F95C34" w:rsidRPr="00F95C34" w:rsidRDefault="00F95C34" w:rsidP="00F95C34">
      <w:pPr>
        <w:rPr>
          <w:b/>
          <w:bCs/>
        </w:rPr>
      </w:pPr>
      <w:r w:rsidRPr="00F95C34">
        <w:rPr>
          <w:b/>
          <w:bCs/>
        </w:rPr>
        <w:t>Preprocessing &amp; Iterative Metagenomic Assembly</w:t>
      </w:r>
    </w:p>
    <w:p w14:paraId="5B75D952" w14:textId="77777777" w:rsidR="00F95C34" w:rsidRPr="00F95C34" w:rsidRDefault="00F95C34" w:rsidP="00F95C34">
      <w:pPr>
        <w:numPr>
          <w:ilvl w:val="0"/>
          <w:numId w:val="2"/>
        </w:numPr>
      </w:pPr>
      <w:r w:rsidRPr="00F95C34">
        <w:rPr>
          <w:b/>
          <w:bCs/>
        </w:rPr>
        <w:t>Tool(s):</w:t>
      </w:r>
      <w:r w:rsidRPr="00F95C34">
        <w:t xml:space="preserve"> Composition-based binning filters evaluating tetranucleotide signatures, contig lengths, and %GC content; PRICE assembler running an iterative expansion strategy to bypass coverage biases in low-depth environmental fractions; </w:t>
      </w:r>
      <w:proofErr w:type="spellStart"/>
      <w:r w:rsidRPr="00F95C34">
        <w:t>Newbler</w:t>
      </w:r>
      <w:proofErr w:type="spellEnd"/>
      <w:r w:rsidRPr="00F95C34">
        <w:t xml:space="preserve"> or algorithmic graph finishing tools.</w:t>
      </w:r>
    </w:p>
    <w:p w14:paraId="531F05F7" w14:textId="77777777" w:rsidR="00F95C34" w:rsidRPr="00F95C34" w:rsidRDefault="00F95C34" w:rsidP="00F95C34">
      <w:pPr>
        <w:numPr>
          <w:ilvl w:val="0"/>
          <w:numId w:val="2"/>
        </w:numPr>
      </w:pPr>
      <w:r w:rsidRPr="00F95C34">
        <w:rPr>
          <w:b/>
          <w:bCs/>
        </w:rPr>
        <w:t>Database(s):</w:t>
      </w:r>
      <w:r w:rsidRPr="00F95C34">
        <w:t xml:space="preserve"> Specialized reference sequence indexes tracking technical contaminants and vector adapters.</w:t>
      </w:r>
    </w:p>
    <w:p w14:paraId="6834B323" w14:textId="7F0E92BC" w:rsidR="00F95C34" w:rsidRPr="00F95C34" w:rsidRDefault="00F95C34" w:rsidP="00F95C34">
      <w:pPr>
        <w:numPr>
          <w:ilvl w:val="0"/>
          <w:numId w:val="2"/>
        </w:numPr>
      </w:pPr>
      <w:r w:rsidRPr="00F95C34">
        <w:rPr>
          <w:b/>
          <w:bCs/>
        </w:rPr>
        <w:t>Normalization:</w:t>
      </w:r>
      <w:r w:rsidRPr="00F95C34">
        <w:t xml:space="preserve"> Base quality score adjustments trimming reads below an optimized Phred threshold (Q </w:t>
      </w:r>
      <w:r>
        <w:t>&gt;</w:t>
      </w:r>
      <w:r w:rsidRPr="00F95C34">
        <w:t xml:space="preserve"> 20) to filter background sequence variations from complex high</w:t>
      </w:r>
      <w:r>
        <w:t xml:space="preserve"> </w:t>
      </w:r>
      <w:r w:rsidRPr="00F95C34">
        <w:t>mineral sediment templates.</w:t>
      </w:r>
    </w:p>
    <w:p w14:paraId="48C940D2" w14:textId="0617326D" w:rsidR="00F95C34" w:rsidRPr="00F95C34" w:rsidRDefault="00F95C34" w:rsidP="00F95C34">
      <w:pPr>
        <w:numPr>
          <w:ilvl w:val="0"/>
          <w:numId w:val="2"/>
        </w:numPr>
      </w:pPr>
      <w:r w:rsidRPr="00F95C34">
        <w:rPr>
          <w:b/>
          <w:bCs/>
        </w:rPr>
        <w:t>Goal of the analysis:</w:t>
      </w:r>
      <w:r w:rsidRPr="00F95C34">
        <w:t xml:space="preserve"> Decontaminate raw sequencing reads and execute long-range contig stitching to optimize datasets for full</w:t>
      </w:r>
      <w:r>
        <w:t xml:space="preserve"> </w:t>
      </w:r>
      <w:r w:rsidRPr="00F95C34">
        <w:t>length viral genome finishing.</w:t>
      </w:r>
    </w:p>
    <w:p w14:paraId="6BC8A2D6" w14:textId="77777777" w:rsidR="00F95C34" w:rsidRPr="00F95C34" w:rsidRDefault="00F95C34" w:rsidP="00F95C34">
      <w:pPr>
        <w:numPr>
          <w:ilvl w:val="0"/>
          <w:numId w:val="2"/>
        </w:numPr>
      </w:pPr>
      <w:r w:rsidRPr="00F95C34">
        <w:rPr>
          <w:b/>
          <w:bCs/>
        </w:rPr>
        <w:t>Key metrics or statistical approaches:</w:t>
      </w:r>
      <w:r w:rsidRPr="00F95C34">
        <w:t xml:space="preserve"> Resolution of localized assembly features from an 18 Mb overall assembly block size; tracking specific post-filter sequence clean read parameters and monitoring per-base quality distributions.</w:t>
      </w:r>
    </w:p>
    <w:p w14:paraId="0B1BD0D3" w14:textId="77777777" w:rsidR="00F95C34" w:rsidRPr="00F95C34" w:rsidRDefault="00F95C34" w:rsidP="00F95C34">
      <w:pPr>
        <w:rPr>
          <w:b/>
          <w:bCs/>
        </w:rPr>
      </w:pPr>
      <w:proofErr w:type="spellStart"/>
      <w:r w:rsidRPr="00F95C34">
        <w:rPr>
          <w:b/>
          <w:bCs/>
        </w:rPr>
        <w:t>Virome</w:t>
      </w:r>
      <w:proofErr w:type="spellEnd"/>
      <w:r w:rsidRPr="00F95C34">
        <w:rPr>
          <w:b/>
          <w:bCs/>
        </w:rPr>
        <w:t xml:space="preserve"> Profiling &amp; Morphological Resolution</w:t>
      </w:r>
    </w:p>
    <w:p w14:paraId="4526E37A" w14:textId="02D0CBC0" w:rsidR="00F95C34" w:rsidRPr="00F95C34" w:rsidRDefault="00F95C34" w:rsidP="00F95C34">
      <w:pPr>
        <w:numPr>
          <w:ilvl w:val="0"/>
          <w:numId w:val="3"/>
        </w:numPr>
      </w:pPr>
      <w:r w:rsidRPr="00F95C34">
        <w:rPr>
          <w:b/>
          <w:bCs/>
        </w:rPr>
        <w:t>Tool(s):</w:t>
      </w:r>
      <w:r w:rsidRPr="00F95C34">
        <w:t xml:space="preserve"> Pairwise sequence alignment comparisons using dot plots generated via the </w:t>
      </w:r>
      <w:proofErr w:type="spellStart"/>
      <w:r w:rsidRPr="00F95C34">
        <w:t>Gepard</w:t>
      </w:r>
      <w:proofErr w:type="spellEnd"/>
      <w:r w:rsidRPr="00F95C34">
        <w:t xml:space="preserve"> program; </w:t>
      </w:r>
      <w:proofErr w:type="spellStart"/>
      <w:r w:rsidRPr="00F95C34">
        <w:t>Kalign</w:t>
      </w:r>
      <w:proofErr w:type="spellEnd"/>
      <w:r w:rsidRPr="00F95C34">
        <w:t xml:space="preserve"> engines; Helium</w:t>
      </w:r>
      <w:r>
        <w:t xml:space="preserve"> </w:t>
      </w:r>
      <w:r w:rsidRPr="00F95C34">
        <w:t>Ion Microscopy (HIM) mapping raw bio</w:t>
      </w:r>
      <w:r>
        <w:t xml:space="preserve"> </w:t>
      </w:r>
      <w:r w:rsidRPr="00F95C34">
        <w:t>films directly; Scanning Electron Microscopy (SEM) optimized with a transmission configuration to refine lineages.</w:t>
      </w:r>
    </w:p>
    <w:p w14:paraId="7FF19B54" w14:textId="77777777" w:rsidR="00F95C34" w:rsidRPr="00F95C34" w:rsidRDefault="00F95C34" w:rsidP="00F95C34">
      <w:pPr>
        <w:numPr>
          <w:ilvl w:val="0"/>
          <w:numId w:val="3"/>
        </w:numPr>
      </w:pPr>
      <w:r w:rsidRPr="00F95C34">
        <w:rPr>
          <w:b/>
          <w:bCs/>
        </w:rPr>
        <w:t>Database(s):</w:t>
      </w:r>
      <w:r w:rsidRPr="00F95C34">
        <w:t xml:space="preserve"> Curated public repository containing complete reference genomes for 95 unique archaeal viruses.</w:t>
      </w:r>
    </w:p>
    <w:p w14:paraId="72E0E7D0" w14:textId="77777777" w:rsidR="00F95C34" w:rsidRPr="00F95C34" w:rsidRDefault="00F95C34" w:rsidP="00F95C34">
      <w:pPr>
        <w:numPr>
          <w:ilvl w:val="0"/>
          <w:numId w:val="3"/>
        </w:numPr>
      </w:pPr>
      <w:r w:rsidRPr="00F95C34">
        <w:rPr>
          <w:b/>
          <w:bCs/>
        </w:rPr>
        <w:lastRenderedPageBreak/>
        <w:t>Normalization:</w:t>
      </w:r>
      <w:r w:rsidRPr="00F95C34">
        <w:t xml:space="preserve"> Homological read matches parsed for Best BLAST Hits (BBH) filtered through an E-value cutoff and an 80% minimum coverage threshold.</w:t>
      </w:r>
    </w:p>
    <w:p w14:paraId="392A11F8" w14:textId="77777777" w:rsidR="00F95C34" w:rsidRPr="00F95C34" w:rsidRDefault="00F95C34" w:rsidP="00F95C34">
      <w:pPr>
        <w:numPr>
          <w:ilvl w:val="0"/>
          <w:numId w:val="3"/>
        </w:numPr>
      </w:pPr>
      <w:r w:rsidRPr="00F95C34">
        <w:rPr>
          <w:b/>
          <w:bCs/>
        </w:rPr>
        <w:t>Goal of the analysis:</w:t>
      </w:r>
      <w:r w:rsidRPr="00F95C34">
        <w:t xml:space="preserve"> Uncover the taxonomic layout of bacteriophages and archaeal viruses, verifying expected morphology configurations across extreme geothermal layers.</w:t>
      </w:r>
    </w:p>
    <w:p w14:paraId="1E00373B" w14:textId="7CA46A0C" w:rsidR="00F95C34" w:rsidRPr="00F95C34" w:rsidRDefault="00F95C34" w:rsidP="00F95C34">
      <w:pPr>
        <w:numPr>
          <w:ilvl w:val="0"/>
          <w:numId w:val="3"/>
        </w:numPr>
      </w:pPr>
      <w:r w:rsidRPr="00F95C34">
        <w:rPr>
          <w:b/>
          <w:bCs/>
        </w:rPr>
        <w:t>Key metrics or statistical approaches:</w:t>
      </w:r>
      <w:r w:rsidRPr="00F95C34">
        <w:t xml:space="preserve"> Successful reconstruction of 7 distinct bacteriophage genomes from the MnS3 matrix, featuring a maximum phage size of 37.5 kb. Metagenomic alignment tracking captures 1,180 distinct archaeal viral contigs within the sample, mapping closely to the families </w:t>
      </w:r>
      <w:proofErr w:type="spellStart"/>
      <w:r w:rsidRPr="00F95C34">
        <w:rPr>
          <w:i/>
          <w:iCs/>
        </w:rPr>
        <w:t>Fuselloviridae</w:t>
      </w:r>
      <w:proofErr w:type="spellEnd"/>
      <w:r w:rsidRPr="00F95C34">
        <w:t xml:space="preserve">, </w:t>
      </w:r>
      <w:proofErr w:type="spellStart"/>
      <w:r w:rsidRPr="00F95C34">
        <w:rPr>
          <w:i/>
          <w:iCs/>
        </w:rPr>
        <w:t>Lipothrixviridae</w:t>
      </w:r>
      <w:proofErr w:type="spellEnd"/>
      <w:r w:rsidRPr="00F95C34">
        <w:t xml:space="preserve">, and </w:t>
      </w:r>
      <w:proofErr w:type="spellStart"/>
      <w:r w:rsidRPr="00F95C34">
        <w:rPr>
          <w:i/>
          <w:iCs/>
        </w:rPr>
        <w:t>Siphoviridae</w:t>
      </w:r>
      <w:proofErr w:type="spellEnd"/>
      <w:r w:rsidRPr="00F95C34">
        <w:t>. High-resolution microscope screening confirms spindle</w:t>
      </w:r>
      <w:r>
        <w:t xml:space="preserve"> </w:t>
      </w:r>
      <w:r w:rsidRPr="00F95C34">
        <w:t xml:space="preserve">shaped </w:t>
      </w:r>
      <w:proofErr w:type="spellStart"/>
      <w:r w:rsidRPr="00F95C34">
        <w:rPr>
          <w:i/>
          <w:iCs/>
        </w:rPr>
        <w:t>Fuselloviridae</w:t>
      </w:r>
      <w:proofErr w:type="spellEnd"/>
      <w:r w:rsidRPr="00F95C34">
        <w:t xml:space="preserve"> architectures featuring two asymmetric attachment ends, alongside tailed </w:t>
      </w:r>
      <w:proofErr w:type="spellStart"/>
      <w:r w:rsidRPr="00F95C34">
        <w:rPr>
          <w:i/>
          <w:iCs/>
        </w:rPr>
        <w:t>Caudovirales</w:t>
      </w:r>
      <w:proofErr w:type="spellEnd"/>
      <w:r w:rsidRPr="00F95C34">
        <w:t xml:space="preserve"> assemblies. Pairwise sequence space alignments document a tight 65</w:t>
      </w:r>
      <w:r>
        <w:rPr>
          <w:rFonts w:cstheme="minorHAnsi"/>
        </w:rPr>
        <w:t>±</w:t>
      </w:r>
      <w:r>
        <w:t>1</w:t>
      </w:r>
      <w:r w:rsidRPr="00F95C34">
        <w:t xml:space="preserve">% sequence identity across sediment </w:t>
      </w:r>
      <w:proofErr w:type="spellStart"/>
      <w:r w:rsidRPr="00F95C34">
        <w:t>phages</w:t>
      </w:r>
      <w:proofErr w:type="spellEnd"/>
      <w:r w:rsidRPr="00F95C34">
        <w:t>, defining sit</w:t>
      </w:r>
      <w:r>
        <w:t xml:space="preserve">e </w:t>
      </w:r>
      <w:r w:rsidRPr="00F95C34">
        <w:t>specific evolutionary convergence.</w:t>
      </w:r>
    </w:p>
    <w:p w14:paraId="095387A3" w14:textId="77777777" w:rsidR="00F95C34" w:rsidRPr="00F95C34" w:rsidRDefault="00F95C34" w:rsidP="00F95C34">
      <w:pPr>
        <w:rPr>
          <w:b/>
          <w:bCs/>
        </w:rPr>
      </w:pPr>
      <w:r w:rsidRPr="00F95C34">
        <w:rPr>
          <w:b/>
          <w:bCs/>
        </w:rPr>
        <w:t xml:space="preserve">Functional Feature Annotation &amp; Lifestyle </w:t>
      </w:r>
      <w:proofErr w:type="spellStart"/>
      <w:r w:rsidRPr="00F95C34">
        <w:rPr>
          <w:b/>
          <w:bCs/>
        </w:rPr>
        <w:t>Modeling</w:t>
      </w:r>
      <w:proofErr w:type="spellEnd"/>
    </w:p>
    <w:p w14:paraId="64872A57" w14:textId="77777777" w:rsidR="00F95C34" w:rsidRPr="00F95C34" w:rsidRDefault="00F95C34" w:rsidP="00F95C34">
      <w:pPr>
        <w:numPr>
          <w:ilvl w:val="0"/>
          <w:numId w:val="4"/>
        </w:numPr>
      </w:pPr>
      <w:r w:rsidRPr="00F95C34">
        <w:rPr>
          <w:b/>
          <w:bCs/>
        </w:rPr>
        <w:t>Tool(s):</w:t>
      </w:r>
      <w:r w:rsidRPr="00F95C34">
        <w:t xml:space="preserve"> Prodigal for </w:t>
      </w:r>
      <w:r w:rsidRPr="00F95C34">
        <w:rPr>
          <w:i/>
          <w:iCs/>
        </w:rPr>
        <w:t>ab-initio</w:t>
      </w:r>
      <w:r w:rsidRPr="00F95C34">
        <w:t xml:space="preserve"> open reading frame (ORF) extraction; Phage Classification Tool Set (PHACTS) incorporating a supervised Random Forest algorithm to model lifetimes; HMMER (v3.1b) executing profile searches against orthologous gene frameworks.</w:t>
      </w:r>
    </w:p>
    <w:p w14:paraId="3070394D" w14:textId="77777777" w:rsidR="00F95C34" w:rsidRPr="00F95C34" w:rsidRDefault="00F95C34" w:rsidP="00F95C34">
      <w:pPr>
        <w:numPr>
          <w:ilvl w:val="0"/>
          <w:numId w:val="4"/>
        </w:numPr>
      </w:pPr>
      <w:r w:rsidRPr="00F95C34">
        <w:rPr>
          <w:b/>
          <w:bCs/>
        </w:rPr>
        <w:t>Database(s):</w:t>
      </w:r>
      <w:r w:rsidRPr="00F95C34">
        <w:t xml:space="preserve"> NCBI non-redundant (NR) protein repository; </w:t>
      </w:r>
      <w:proofErr w:type="spellStart"/>
      <w:r w:rsidRPr="00F95C34">
        <w:t>EggNOG</w:t>
      </w:r>
      <w:proofErr w:type="spellEnd"/>
      <w:r w:rsidRPr="00F95C34">
        <w:t xml:space="preserve"> 4.5 database housing specialized </w:t>
      </w:r>
      <w:proofErr w:type="spellStart"/>
      <w:r w:rsidRPr="00F95C34">
        <w:rPr>
          <w:i/>
          <w:iCs/>
        </w:rPr>
        <w:t>Caudovirales</w:t>
      </w:r>
      <w:proofErr w:type="spellEnd"/>
      <w:r w:rsidRPr="00F95C34">
        <w:t xml:space="preserve"> HMM </w:t>
      </w:r>
      <w:proofErr w:type="spellStart"/>
      <w:r w:rsidRPr="00F95C34">
        <w:t>orthology</w:t>
      </w:r>
      <w:proofErr w:type="spellEnd"/>
      <w:r w:rsidRPr="00F95C34">
        <w:t xml:space="preserve"> profiles.</w:t>
      </w:r>
    </w:p>
    <w:p w14:paraId="5C5315D0" w14:textId="77777777" w:rsidR="00F95C34" w:rsidRPr="00F95C34" w:rsidRDefault="00F95C34" w:rsidP="00F95C34">
      <w:pPr>
        <w:numPr>
          <w:ilvl w:val="0"/>
          <w:numId w:val="4"/>
        </w:numPr>
      </w:pPr>
      <w:r w:rsidRPr="00F95C34">
        <w:rPr>
          <w:b/>
          <w:bCs/>
        </w:rPr>
        <w:t>Normalization:</w:t>
      </w:r>
      <w:r w:rsidRPr="00F95C34">
        <w:t xml:space="preserve"> Functional lifestyle indexing requiring a 0.05 probability parameter threshold cutoff inside the Random Forest matrix.</w:t>
      </w:r>
    </w:p>
    <w:p w14:paraId="7A78BA67" w14:textId="77777777" w:rsidR="00F95C34" w:rsidRPr="00F95C34" w:rsidRDefault="00F95C34" w:rsidP="00F95C34">
      <w:pPr>
        <w:numPr>
          <w:ilvl w:val="0"/>
          <w:numId w:val="4"/>
        </w:numPr>
      </w:pPr>
      <w:r w:rsidRPr="00F95C34">
        <w:rPr>
          <w:b/>
          <w:bCs/>
        </w:rPr>
        <w:t>Goal of the analysis:</w:t>
      </w:r>
      <w:r w:rsidRPr="00F95C34">
        <w:t xml:space="preserve"> Discriminate the virulent (lytic) vs. temperate lifestyles of binned </w:t>
      </w:r>
      <w:proofErr w:type="spellStart"/>
      <w:r w:rsidRPr="00F95C34">
        <w:t>phages</w:t>
      </w:r>
      <w:proofErr w:type="spellEnd"/>
      <w:r w:rsidRPr="00F95C34">
        <w:t xml:space="preserve"> and chart the functional pathways facilitating adaptation to hyper-thermal matrices.</w:t>
      </w:r>
    </w:p>
    <w:p w14:paraId="04940C90" w14:textId="6B3F22D4" w:rsidR="00F95C34" w:rsidRPr="00F95C34" w:rsidRDefault="00F95C34" w:rsidP="00F95C34">
      <w:pPr>
        <w:numPr>
          <w:ilvl w:val="0"/>
          <w:numId w:val="4"/>
        </w:numPr>
      </w:pPr>
      <w:r w:rsidRPr="00F95C34">
        <w:rPr>
          <w:b/>
          <w:bCs/>
        </w:rPr>
        <w:t>Key metrics or statistical approaches:</w:t>
      </w:r>
      <w:r w:rsidRPr="00F95C34">
        <w:t xml:space="preserve"> PHACTS parsing assigns a 57% lytic vs. 43% temperate lifestyle balance among reconstructed MnS3 </w:t>
      </w:r>
      <w:proofErr w:type="spellStart"/>
      <w:r w:rsidRPr="00F95C34">
        <w:t>phages</w:t>
      </w:r>
      <w:proofErr w:type="spellEnd"/>
      <w:r w:rsidRPr="00F95C34">
        <w:t>. Core gene characterization maps heavy protein groupings across eight functional categories, notably tracking host lysis, replication, recombination, and structural components. Functional screening isolates non-phage host metabolism loops integrated directly within viral strings</w:t>
      </w:r>
      <w:r>
        <w:t xml:space="preserve"> </w:t>
      </w:r>
      <w:r w:rsidRPr="00F95C34">
        <w:t xml:space="preserve">such as hybrid sensor histidine kinases, </w:t>
      </w:r>
      <w:proofErr w:type="spellStart"/>
      <w:r w:rsidRPr="00F95C34">
        <w:t>TonB</w:t>
      </w:r>
      <w:proofErr w:type="spellEnd"/>
      <w:r w:rsidRPr="00F95C34">
        <w:t xml:space="preserve">-dependent receptors, and </w:t>
      </w:r>
      <w:proofErr w:type="spellStart"/>
      <w:r w:rsidRPr="00F95C34">
        <w:t>ClpC</w:t>
      </w:r>
      <w:proofErr w:type="spellEnd"/>
      <w:r w:rsidRPr="00F95C34">
        <w:t xml:space="preserve"> proteases</w:t>
      </w:r>
      <w:r>
        <w:t xml:space="preserve"> </w:t>
      </w:r>
      <w:r w:rsidRPr="00F95C34">
        <w:t>confirming lateral gene transfer (LGT) loops that modulate bacterial fitness under extreme constraints.</w:t>
      </w:r>
    </w:p>
    <w:p w14:paraId="3EB2AFA1" w14:textId="77777777" w:rsidR="00F95C34" w:rsidRPr="00F95C34" w:rsidRDefault="00F95C34" w:rsidP="00F95C34">
      <w:pPr>
        <w:rPr>
          <w:b/>
          <w:bCs/>
        </w:rPr>
      </w:pPr>
      <w:r w:rsidRPr="00F95C34">
        <w:rPr>
          <w:b/>
          <w:bCs/>
        </w:rPr>
        <w:t>CRISPR Immune Networks &amp; Motif Mapping</w:t>
      </w:r>
    </w:p>
    <w:p w14:paraId="6808799E" w14:textId="77777777" w:rsidR="00F95C34" w:rsidRPr="00F95C34" w:rsidRDefault="00F95C34" w:rsidP="00F95C34">
      <w:pPr>
        <w:numPr>
          <w:ilvl w:val="0"/>
          <w:numId w:val="5"/>
        </w:numPr>
      </w:pPr>
      <w:r w:rsidRPr="00F95C34">
        <w:rPr>
          <w:b/>
          <w:bCs/>
        </w:rPr>
        <w:t>Tool(s):</w:t>
      </w:r>
      <w:r w:rsidRPr="00F95C34">
        <w:t xml:space="preserve"> PILER-CR v1.06 paired with the </w:t>
      </w:r>
      <w:proofErr w:type="spellStart"/>
      <w:r w:rsidRPr="00F95C34">
        <w:t>CRISPRFinder</w:t>
      </w:r>
      <w:proofErr w:type="spellEnd"/>
      <w:r w:rsidRPr="00F95C34">
        <w:t xml:space="preserve"> engine to isolate target repeats; </w:t>
      </w:r>
      <w:proofErr w:type="spellStart"/>
      <w:r w:rsidRPr="00F95C34">
        <w:t>BLASTx</w:t>
      </w:r>
      <w:proofErr w:type="spellEnd"/>
      <w:r w:rsidRPr="00F95C34">
        <w:t xml:space="preserve"> search logic for broad taxonomic assignment; </w:t>
      </w:r>
      <w:proofErr w:type="spellStart"/>
      <w:r w:rsidRPr="00F95C34">
        <w:t>CRISPRMap</w:t>
      </w:r>
      <w:proofErr w:type="spellEnd"/>
      <w:r w:rsidRPr="00F95C34">
        <w:t xml:space="preserve"> automated servers for structural motif grouping based on repeat conservation models.</w:t>
      </w:r>
    </w:p>
    <w:p w14:paraId="282EA334" w14:textId="77777777" w:rsidR="00F95C34" w:rsidRPr="00F95C34" w:rsidRDefault="00F95C34" w:rsidP="00F95C34">
      <w:pPr>
        <w:numPr>
          <w:ilvl w:val="0"/>
          <w:numId w:val="5"/>
        </w:numPr>
      </w:pPr>
      <w:r w:rsidRPr="00F95C34">
        <w:rPr>
          <w:b/>
          <w:bCs/>
        </w:rPr>
        <w:t>Database(s):</w:t>
      </w:r>
      <w:r w:rsidRPr="00F95C34">
        <w:t xml:space="preserve"> NCBI NR collection; </w:t>
      </w:r>
      <w:proofErr w:type="spellStart"/>
      <w:r w:rsidRPr="00F95C34">
        <w:t>CRISPRMap</w:t>
      </w:r>
      <w:proofErr w:type="spellEnd"/>
      <w:r w:rsidRPr="00F95C34">
        <w:t xml:space="preserve"> curated consensus binder motif collection.</w:t>
      </w:r>
    </w:p>
    <w:p w14:paraId="2037BE96" w14:textId="77777777" w:rsidR="00F95C34" w:rsidRPr="00F95C34" w:rsidRDefault="00F95C34" w:rsidP="00F95C34">
      <w:pPr>
        <w:numPr>
          <w:ilvl w:val="0"/>
          <w:numId w:val="5"/>
        </w:numPr>
      </w:pPr>
      <w:r w:rsidRPr="00F95C34">
        <w:rPr>
          <w:b/>
          <w:bCs/>
        </w:rPr>
        <w:t>Normalization:</w:t>
      </w:r>
      <w:r w:rsidRPr="00F95C34">
        <w:t xml:space="preserve"> Sequence alignment queries filtered utilizing an E-value cutoff parameter of $10</w:t>
      </w:r>
      <w:proofErr w:type="gramStart"/>
      <w:r w:rsidRPr="00F95C34">
        <w:t>^{</w:t>
      </w:r>
      <w:proofErr w:type="gramEnd"/>
      <w:r w:rsidRPr="00F95C34">
        <w:t>-</w:t>
      </w:r>
      <w:proofErr w:type="gramStart"/>
      <w:r w:rsidRPr="00F95C34">
        <w:t>5}$</w:t>
      </w:r>
      <w:proofErr w:type="gramEnd"/>
      <w:r w:rsidRPr="00F95C34">
        <w:t>.</w:t>
      </w:r>
    </w:p>
    <w:p w14:paraId="159738EB" w14:textId="77777777" w:rsidR="00F95C34" w:rsidRPr="00F95C34" w:rsidRDefault="00F95C34" w:rsidP="00F95C34">
      <w:pPr>
        <w:numPr>
          <w:ilvl w:val="0"/>
          <w:numId w:val="5"/>
        </w:numPr>
      </w:pPr>
      <w:r w:rsidRPr="00F95C34">
        <w:rPr>
          <w:b/>
          <w:bCs/>
        </w:rPr>
        <w:t>Goal of the analysis:</w:t>
      </w:r>
      <w:r w:rsidRPr="00F95C34">
        <w:t xml:space="preserve"> Map operational host CRISPR arrays to reconstruct historical prints of viral exposure and capture structural indicators of acquired immunity.</w:t>
      </w:r>
    </w:p>
    <w:p w14:paraId="656F3A3A" w14:textId="77777777" w:rsidR="00F95C34" w:rsidRPr="00F95C34" w:rsidRDefault="00F95C34" w:rsidP="00F95C34">
      <w:pPr>
        <w:numPr>
          <w:ilvl w:val="0"/>
          <w:numId w:val="5"/>
        </w:numPr>
      </w:pPr>
      <w:r w:rsidRPr="00F95C34">
        <w:rPr>
          <w:b/>
          <w:bCs/>
        </w:rPr>
        <w:t>Key metrics or statistical approaches:</w:t>
      </w:r>
      <w:r w:rsidRPr="00F95C34">
        <w:t xml:space="preserve"> Identification of 17 discrete, functional CRISPR cassettes within the MnS3 sediment sample, built from ~35-nt direct repeat chains flanking </w:t>
      </w:r>
      <w:r w:rsidRPr="00F95C34">
        <w:lastRenderedPageBreak/>
        <w:t xml:space="preserve">~34-nt long spacer components. Taxonomic sorting tracks a highly specific lineage layout dominated by </w:t>
      </w:r>
      <w:r w:rsidRPr="00F95C34">
        <w:rPr>
          <w:i/>
          <w:iCs/>
        </w:rPr>
        <w:t>Proteobacteria</w:t>
      </w:r>
      <w:r w:rsidRPr="00F95C34">
        <w:t xml:space="preserve">, </w:t>
      </w:r>
      <w:r w:rsidRPr="00F95C34">
        <w:rPr>
          <w:i/>
          <w:iCs/>
        </w:rPr>
        <w:t>Actinobacteria</w:t>
      </w:r>
      <w:r w:rsidRPr="00F95C34">
        <w:t xml:space="preserve">, </w:t>
      </w:r>
      <w:r w:rsidRPr="00F95C34">
        <w:rPr>
          <w:i/>
          <w:iCs/>
        </w:rPr>
        <w:t>Firmicutes</w:t>
      </w:r>
      <w:r w:rsidRPr="00F95C34">
        <w:t xml:space="preserve">, and </w:t>
      </w:r>
      <w:proofErr w:type="spellStart"/>
      <w:r w:rsidRPr="00F95C34">
        <w:rPr>
          <w:i/>
          <w:iCs/>
        </w:rPr>
        <w:t>Euryarchaeota</w:t>
      </w:r>
      <w:proofErr w:type="spellEnd"/>
      <w:r w:rsidRPr="00F95C34">
        <w:t>. Consensus mapping details structural binding configurations for Cas endoribonucleases (isolating markers matching motifs 5, 21, 24, 29, 30, and 32), with alignment trees indicating that over 70% of the hot spring array repetitions represent completely novel adaptive immunity elements.</w:t>
      </w:r>
    </w:p>
    <w:p w14:paraId="67E8EEBF"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1A6B"/>
    <w:multiLevelType w:val="multilevel"/>
    <w:tmpl w:val="708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132F0"/>
    <w:multiLevelType w:val="multilevel"/>
    <w:tmpl w:val="D3A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E57E3"/>
    <w:multiLevelType w:val="multilevel"/>
    <w:tmpl w:val="C1B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82F39"/>
    <w:multiLevelType w:val="multilevel"/>
    <w:tmpl w:val="B96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63873"/>
    <w:multiLevelType w:val="multilevel"/>
    <w:tmpl w:val="A05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841670">
    <w:abstractNumId w:val="0"/>
  </w:num>
  <w:num w:numId="2" w16cid:durableId="353774596">
    <w:abstractNumId w:val="1"/>
  </w:num>
  <w:num w:numId="3" w16cid:durableId="1758867797">
    <w:abstractNumId w:val="4"/>
  </w:num>
  <w:num w:numId="4" w16cid:durableId="499659927">
    <w:abstractNumId w:val="2"/>
  </w:num>
  <w:num w:numId="5" w16cid:durableId="1492260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34"/>
    <w:rsid w:val="000C092D"/>
    <w:rsid w:val="000C3267"/>
    <w:rsid w:val="00227B78"/>
    <w:rsid w:val="007A7287"/>
    <w:rsid w:val="00850FB5"/>
    <w:rsid w:val="00F95C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1F6E"/>
  <w15:chartTrackingRefBased/>
  <w15:docId w15:val="{C124CA63-EF9E-4FA1-9914-B7F51494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C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C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C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C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C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C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C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C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34"/>
    <w:rPr>
      <w:rFonts w:eastAsiaTheme="majorEastAsia" w:cstheme="majorBidi"/>
      <w:color w:val="272727" w:themeColor="text1" w:themeTint="D8"/>
    </w:rPr>
  </w:style>
  <w:style w:type="paragraph" w:styleId="Title">
    <w:name w:val="Title"/>
    <w:basedOn w:val="Normal"/>
    <w:next w:val="Normal"/>
    <w:link w:val="TitleChar"/>
    <w:uiPriority w:val="10"/>
    <w:qFormat/>
    <w:rsid w:val="00F95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34"/>
    <w:pPr>
      <w:spacing w:before="160"/>
      <w:jc w:val="center"/>
    </w:pPr>
    <w:rPr>
      <w:i/>
      <w:iCs/>
      <w:color w:val="404040" w:themeColor="text1" w:themeTint="BF"/>
    </w:rPr>
  </w:style>
  <w:style w:type="character" w:customStyle="1" w:styleId="QuoteChar">
    <w:name w:val="Quote Char"/>
    <w:basedOn w:val="DefaultParagraphFont"/>
    <w:link w:val="Quote"/>
    <w:uiPriority w:val="29"/>
    <w:rsid w:val="00F95C34"/>
    <w:rPr>
      <w:i/>
      <w:iCs/>
      <w:color w:val="404040" w:themeColor="text1" w:themeTint="BF"/>
    </w:rPr>
  </w:style>
  <w:style w:type="paragraph" w:styleId="ListParagraph">
    <w:name w:val="List Paragraph"/>
    <w:basedOn w:val="Normal"/>
    <w:uiPriority w:val="34"/>
    <w:qFormat/>
    <w:rsid w:val="00F95C34"/>
    <w:pPr>
      <w:ind w:left="720"/>
      <w:contextualSpacing/>
    </w:pPr>
  </w:style>
  <w:style w:type="character" w:styleId="IntenseEmphasis">
    <w:name w:val="Intense Emphasis"/>
    <w:basedOn w:val="DefaultParagraphFont"/>
    <w:uiPriority w:val="21"/>
    <w:qFormat/>
    <w:rsid w:val="00F95C34"/>
    <w:rPr>
      <w:i/>
      <w:iCs/>
      <w:color w:val="2F5496" w:themeColor="accent1" w:themeShade="BF"/>
    </w:rPr>
  </w:style>
  <w:style w:type="paragraph" w:styleId="IntenseQuote">
    <w:name w:val="Intense Quote"/>
    <w:basedOn w:val="Normal"/>
    <w:next w:val="Normal"/>
    <w:link w:val="IntenseQuoteChar"/>
    <w:uiPriority w:val="30"/>
    <w:qFormat/>
    <w:rsid w:val="00F95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C34"/>
    <w:rPr>
      <w:i/>
      <w:iCs/>
      <w:color w:val="2F5496" w:themeColor="accent1" w:themeShade="BF"/>
    </w:rPr>
  </w:style>
  <w:style w:type="character" w:styleId="IntenseReference">
    <w:name w:val="Intense Reference"/>
    <w:basedOn w:val="DefaultParagraphFont"/>
    <w:uiPriority w:val="32"/>
    <w:qFormat/>
    <w:rsid w:val="00F95C34"/>
    <w:rPr>
      <w:b/>
      <w:bCs/>
      <w:smallCaps/>
      <w:color w:val="2F5496" w:themeColor="accent1" w:themeShade="BF"/>
      <w:spacing w:val="5"/>
    </w:rPr>
  </w:style>
  <w:style w:type="character" w:styleId="Hyperlink">
    <w:name w:val="Hyperlink"/>
    <w:basedOn w:val="DefaultParagraphFont"/>
    <w:uiPriority w:val="99"/>
    <w:unhideWhenUsed/>
    <w:rsid w:val="00F95C34"/>
    <w:rPr>
      <w:color w:val="0563C1" w:themeColor="hyperlink"/>
      <w:u w:val="single"/>
    </w:rPr>
  </w:style>
  <w:style w:type="character" w:styleId="UnresolvedMention">
    <w:name w:val="Unresolved Mention"/>
    <w:basedOn w:val="DefaultParagraphFont"/>
    <w:uiPriority w:val="99"/>
    <w:semiHidden/>
    <w:unhideWhenUsed/>
    <w:rsid w:val="00F95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3389/fmicb.2018.0309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2026-06-25T17:51:00Z</dcterms:created>
  <dcterms:modified xsi:type="dcterms:W3CDTF">2026-06-25T17:53:00Z</dcterms:modified>
</cp:coreProperties>
</file>