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2B16" w14:textId="77777777" w:rsidR="00713AD1" w:rsidRPr="00713AD1" w:rsidRDefault="00713AD1" w:rsidP="00713AD1">
      <w:pPr>
        <w:rPr>
          <w:b/>
          <w:bCs/>
          <w:sz w:val="36"/>
          <w:szCs w:val="36"/>
        </w:rPr>
      </w:pPr>
      <w:r w:rsidRPr="00713AD1">
        <w:rPr>
          <w:b/>
          <w:bCs/>
          <w:sz w:val="36"/>
          <w:szCs w:val="36"/>
        </w:rPr>
        <w:t>Analysis Plan - SRP064704</w:t>
      </w:r>
    </w:p>
    <w:p w14:paraId="25CABBFE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 xml:space="preserve">Study Accession: SRP064704 (SRA </w:t>
      </w:r>
      <w:proofErr w:type="spellStart"/>
      <w:r w:rsidRPr="00713AD1">
        <w:rPr>
          <w:sz w:val="24"/>
          <w:szCs w:val="24"/>
        </w:rPr>
        <w:t>BioProject</w:t>
      </w:r>
      <w:proofErr w:type="spellEnd"/>
      <w:r w:rsidRPr="00713AD1">
        <w:rPr>
          <w:sz w:val="24"/>
          <w:szCs w:val="24"/>
        </w:rPr>
        <w:t xml:space="preserve"> PRJNA297434)</w:t>
      </w:r>
    </w:p>
    <w:p w14:paraId="6D9AC04F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>Study Type: Extreme high-altitude hydrothermal geomicrobiology, pan-genomics, and structural thermophilic ecology</w:t>
      </w:r>
    </w:p>
    <w:p w14:paraId="64D08A03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 xml:space="preserve">Sample Type: Boiling vent water, mat sediments, hydro-thermal sinters, and outflow channels from the 4,438-meter high-altitude </w:t>
      </w:r>
      <w:proofErr w:type="spellStart"/>
      <w:r w:rsidRPr="00713AD1">
        <w:rPr>
          <w:sz w:val="24"/>
          <w:szCs w:val="24"/>
        </w:rPr>
        <w:t>microbialite</w:t>
      </w:r>
      <w:proofErr w:type="spellEnd"/>
      <w:r w:rsidRPr="00713AD1">
        <w:rPr>
          <w:sz w:val="24"/>
          <w:szCs w:val="24"/>
        </w:rPr>
        <w:t xml:space="preserve"> hot spring system</w:t>
      </w:r>
    </w:p>
    <w:p w14:paraId="2F4B83E9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>Associated Publications / DOIs:</w:t>
      </w:r>
    </w:p>
    <w:p w14:paraId="7F104DEB" w14:textId="77777777" w:rsidR="00713AD1" w:rsidRPr="00713AD1" w:rsidRDefault="00713AD1" w:rsidP="00713AD1">
      <w:pPr>
        <w:numPr>
          <w:ilvl w:val="0"/>
          <w:numId w:val="6"/>
        </w:numPr>
        <w:rPr>
          <w:sz w:val="24"/>
          <w:szCs w:val="24"/>
        </w:rPr>
      </w:pPr>
      <w:r w:rsidRPr="00713AD1">
        <w:rPr>
          <w:sz w:val="24"/>
          <w:szCs w:val="24"/>
        </w:rPr>
        <w:t>Mondal et al., 2023 (</w:t>
      </w:r>
      <w:proofErr w:type="spellStart"/>
      <w:r w:rsidRPr="00713AD1">
        <w:rPr>
          <w:i/>
          <w:iCs/>
          <w:sz w:val="24"/>
          <w:szCs w:val="24"/>
        </w:rPr>
        <w:t>Microbiol</w:t>
      </w:r>
      <w:proofErr w:type="spellEnd"/>
      <w:r w:rsidRPr="00713AD1">
        <w:rPr>
          <w:i/>
          <w:iCs/>
          <w:sz w:val="24"/>
          <w:szCs w:val="24"/>
        </w:rPr>
        <w:t xml:space="preserve"> Spectr</w:t>
      </w:r>
      <w:r w:rsidRPr="00713AD1">
        <w:rPr>
          <w:sz w:val="24"/>
          <w:szCs w:val="24"/>
        </w:rPr>
        <w:t xml:space="preserve">): </w:t>
      </w:r>
      <w:hyperlink r:id="rId5" w:tgtFrame="_blank" w:history="1">
        <w:r w:rsidRPr="00713AD1">
          <w:rPr>
            <w:rStyle w:val="Hyperlink"/>
            <w:sz w:val="24"/>
            <w:szCs w:val="24"/>
          </w:rPr>
          <w:t>https://doi.org/10.1128/spectrum.01606-22</w:t>
        </w:r>
      </w:hyperlink>
    </w:p>
    <w:p w14:paraId="2F8A2D21" w14:textId="77777777" w:rsidR="00713AD1" w:rsidRPr="00713AD1" w:rsidRDefault="00713AD1" w:rsidP="00713AD1">
      <w:pPr>
        <w:numPr>
          <w:ilvl w:val="0"/>
          <w:numId w:val="6"/>
        </w:numPr>
        <w:rPr>
          <w:sz w:val="24"/>
          <w:szCs w:val="24"/>
        </w:rPr>
      </w:pPr>
      <w:r w:rsidRPr="00713AD1">
        <w:rPr>
          <w:sz w:val="24"/>
          <w:szCs w:val="24"/>
        </w:rPr>
        <w:t>Roy et al., 2020 (</w:t>
      </w:r>
      <w:r w:rsidRPr="00713AD1">
        <w:rPr>
          <w:i/>
          <w:iCs/>
          <w:sz w:val="24"/>
          <w:szCs w:val="24"/>
        </w:rPr>
        <w:t>Sci Rep</w:t>
      </w:r>
      <w:r w:rsidRPr="00713AD1">
        <w:rPr>
          <w:sz w:val="24"/>
          <w:szCs w:val="24"/>
        </w:rPr>
        <w:t xml:space="preserve">): </w:t>
      </w:r>
      <w:hyperlink r:id="rId6" w:tgtFrame="_blank" w:history="1">
        <w:r w:rsidRPr="00713AD1">
          <w:rPr>
            <w:rStyle w:val="Hyperlink"/>
            <w:sz w:val="24"/>
            <w:szCs w:val="24"/>
          </w:rPr>
          <w:t>https://doi.org/10.1038/s41598-020-62797-z</w:t>
        </w:r>
      </w:hyperlink>
    </w:p>
    <w:p w14:paraId="62F20F19" w14:textId="77777777" w:rsidR="00713AD1" w:rsidRPr="00713AD1" w:rsidRDefault="00713AD1" w:rsidP="00713AD1">
      <w:pPr>
        <w:numPr>
          <w:ilvl w:val="0"/>
          <w:numId w:val="6"/>
        </w:numPr>
        <w:rPr>
          <w:sz w:val="24"/>
          <w:szCs w:val="24"/>
        </w:rPr>
      </w:pPr>
      <w:r w:rsidRPr="00713AD1">
        <w:rPr>
          <w:sz w:val="24"/>
          <w:szCs w:val="24"/>
        </w:rPr>
        <w:t>Mondal et al., 2024 (</w:t>
      </w:r>
      <w:r w:rsidRPr="00713AD1">
        <w:rPr>
          <w:i/>
          <w:iCs/>
          <w:sz w:val="24"/>
          <w:szCs w:val="24"/>
        </w:rPr>
        <w:t>PLOS ONE</w:t>
      </w:r>
      <w:r w:rsidRPr="00713AD1">
        <w:rPr>
          <w:sz w:val="24"/>
          <w:szCs w:val="24"/>
        </w:rPr>
        <w:t xml:space="preserve">): </w:t>
      </w:r>
      <w:hyperlink r:id="rId7" w:tgtFrame="_blank" w:history="1">
        <w:r w:rsidRPr="00713AD1">
          <w:rPr>
            <w:rStyle w:val="Hyperlink"/>
            <w:sz w:val="24"/>
            <w:szCs w:val="24"/>
          </w:rPr>
          <w:t>https://doi.org/10.1371/journal.pone.0310595</w:t>
        </w:r>
      </w:hyperlink>
    </w:p>
    <w:p w14:paraId="7B3A1030" w14:textId="66E132AD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>Study Design: Comprehensive spatial, geochemical, and evolutionary profiling of a mineral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 xml:space="preserve">heavy Trans-Himalayan hot spring system. Due to the low atmospheric pressure at 4,438m, the 70°C–85°C hydrothermal waters flow close to their boiling point, creating a highly entropic environment that destabilizes biomacromolecules. Total metagenomic DNA directly isolated along the thermal gradients of the outflow stream and its </w:t>
      </w:r>
      <w:proofErr w:type="spellStart"/>
      <w:r w:rsidRPr="00713AD1">
        <w:rPr>
          <w:sz w:val="24"/>
          <w:szCs w:val="24"/>
        </w:rPr>
        <w:t>boratic</w:t>
      </w:r>
      <w:proofErr w:type="spellEnd"/>
      <w:r w:rsidRPr="00713AD1">
        <w:rPr>
          <w:sz w:val="24"/>
          <w:szCs w:val="24"/>
        </w:rPr>
        <w:t xml:space="preserve"> </w:t>
      </w:r>
      <w:proofErr w:type="spellStart"/>
      <w:r w:rsidRPr="00713AD1">
        <w:rPr>
          <w:sz w:val="24"/>
          <w:szCs w:val="24"/>
        </w:rPr>
        <w:t>microbialite</w:t>
      </w:r>
      <w:proofErr w:type="spellEnd"/>
      <w:r w:rsidRPr="00713AD1">
        <w:rPr>
          <w:sz w:val="24"/>
          <w:szCs w:val="24"/>
        </w:rPr>
        <w:t xml:space="preserve"> structure ("</w:t>
      </w:r>
      <w:proofErr w:type="spellStart"/>
      <w:r w:rsidRPr="00713AD1">
        <w:rPr>
          <w:sz w:val="24"/>
          <w:szCs w:val="24"/>
        </w:rPr>
        <w:t>Shivlinga</w:t>
      </w:r>
      <w:proofErr w:type="spellEnd"/>
      <w:r w:rsidRPr="00713AD1">
        <w:rPr>
          <w:sz w:val="24"/>
          <w:szCs w:val="24"/>
        </w:rPr>
        <w:t>") was sequenced using high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throughput Illumina chemistry alongside pure isolates to map fitness strategies, taxonomic dominance shifts, and macromolecule-stabilizing adaptation.</w:t>
      </w:r>
    </w:p>
    <w:p w14:paraId="7D8C0708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>Taxonomic / Metagenomic Profiling</w:t>
      </w:r>
    </w:p>
    <w:p w14:paraId="7FF6B903" w14:textId="77777777" w:rsidR="00713AD1" w:rsidRPr="00713AD1" w:rsidRDefault="00713AD1" w:rsidP="00713AD1">
      <w:pPr>
        <w:numPr>
          <w:ilvl w:val="0"/>
          <w:numId w:val="7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Tool(s): </w:t>
      </w:r>
      <w:proofErr w:type="spellStart"/>
      <w:r w:rsidRPr="00713AD1">
        <w:rPr>
          <w:sz w:val="24"/>
          <w:szCs w:val="24"/>
        </w:rPr>
        <w:t>Trimmomatic</w:t>
      </w:r>
      <w:proofErr w:type="spellEnd"/>
      <w:r w:rsidRPr="00713AD1">
        <w:rPr>
          <w:sz w:val="24"/>
          <w:szCs w:val="24"/>
        </w:rPr>
        <w:t xml:space="preserve"> or </w:t>
      </w:r>
      <w:proofErr w:type="spellStart"/>
      <w:r w:rsidRPr="00713AD1">
        <w:rPr>
          <w:sz w:val="24"/>
          <w:szCs w:val="24"/>
        </w:rPr>
        <w:t>fastp</w:t>
      </w:r>
      <w:proofErr w:type="spellEnd"/>
      <w:r w:rsidRPr="00713AD1">
        <w:rPr>
          <w:sz w:val="24"/>
          <w:szCs w:val="24"/>
        </w:rPr>
        <w:t xml:space="preserve"> for high-quality sequence read filtration; direct sequence classification pipelines; assembly-independent marker assignment tools.</w:t>
      </w:r>
    </w:p>
    <w:p w14:paraId="372492B7" w14:textId="77777777" w:rsidR="00713AD1" w:rsidRPr="00713AD1" w:rsidRDefault="00713AD1" w:rsidP="00713AD1">
      <w:pPr>
        <w:numPr>
          <w:ilvl w:val="0"/>
          <w:numId w:val="7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Database(s): NCBI </w:t>
      </w:r>
      <w:proofErr w:type="spellStart"/>
      <w:r w:rsidRPr="00713AD1">
        <w:rPr>
          <w:sz w:val="24"/>
          <w:szCs w:val="24"/>
        </w:rPr>
        <w:t>RefSeq</w:t>
      </w:r>
      <w:proofErr w:type="spellEnd"/>
      <w:r w:rsidRPr="00713AD1">
        <w:rPr>
          <w:sz w:val="24"/>
          <w:szCs w:val="24"/>
        </w:rPr>
        <w:t xml:space="preserve"> microbial genomics collection; GTDB database for taxonomy standardization.</w:t>
      </w:r>
    </w:p>
    <w:p w14:paraId="111D3C3E" w14:textId="546378C4" w:rsidR="00713AD1" w:rsidRPr="00713AD1" w:rsidRDefault="00713AD1" w:rsidP="00713AD1">
      <w:pPr>
        <w:numPr>
          <w:ilvl w:val="0"/>
          <w:numId w:val="7"/>
        </w:numPr>
        <w:rPr>
          <w:sz w:val="24"/>
          <w:szCs w:val="24"/>
        </w:rPr>
      </w:pPr>
      <w:r w:rsidRPr="00713AD1">
        <w:rPr>
          <w:sz w:val="24"/>
          <w:szCs w:val="24"/>
        </w:rPr>
        <w:t>Normalization: Direct sequencing counts adjusted to length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normalized abundance fractions or relative percentage tables.</w:t>
      </w:r>
    </w:p>
    <w:p w14:paraId="299CCE1F" w14:textId="77777777" w:rsidR="00713AD1" w:rsidRPr="00713AD1" w:rsidRDefault="00713AD1" w:rsidP="00713AD1">
      <w:pPr>
        <w:numPr>
          <w:ilvl w:val="0"/>
          <w:numId w:val="7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Goal of the analysis: Profile the primary microbial ecology across the hydrothermal gradient, evaluating how bacterial hyperthermophiles (such as </w:t>
      </w:r>
      <w:proofErr w:type="spellStart"/>
      <w:r w:rsidRPr="00713AD1">
        <w:rPr>
          <w:i/>
          <w:iCs/>
          <w:sz w:val="24"/>
          <w:szCs w:val="24"/>
        </w:rPr>
        <w:t>Aquificae</w:t>
      </w:r>
      <w:proofErr w:type="spellEnd"/>
      <w:r w:rsidRPr="00713AD1">
        <w:rPr>
          <w:sz w:val="24"/>
          <w:szCs w:val="24"/>
        </w:rPr>
        <w:t>) overcome competitive exclusion by archaeal thermophiles and spatial crowding from surrounding mesophiles to command the boiling vent zone.</w:t>
      </w:r>
    </w:p>
    <w:p w14:paraId="7F9C4C8E" w14:textId="77777777" w:rsidR="00713AD1" w:rsidRPr="00713AD1" w:rsidRDefault="00713AD1" w:rsidP="00713AD1">
      <w:pPr>
        <w:numPr>
          <w:ilvl w:val="0"/>
          <w:numId w:val="7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Key metrics or statistical approaches: Structural alpha diversity richness estimators; quantitative beta-diversity indexing; relative abundance sorting tracking how </w:t>
      </w:r>
      <w:proofErr w:type="spellStart"/>
      <w:r w:rsidRPr="00713AD1">
        <w:rPr>
          <w:i/>
          <w:iCs/>
          <w:sz w:val="24"/>
          <w:szCs w:val="24"/>
        </w:rPr>
        <w:t>Aquificae</w:t>
      </w:r>
      <w:proofErr w:type="spellEnd"/>
      <w:r w:rsidRPr="00713AD1">
        <w:rPr>
          <w:sz w:val="24"/>
          <w:szCs w:val="24"/>
        </w:rPr>
        <w:t xml:space="preserve"> out-competes common Archaea as temperatures reach localized boiling points.</w:t>
      </w:r>
    </w:p>
    <w:p w14:paraId="0C34A8C1" w14:textId="77777777" w:rsidR="00713AD1" w:rsidRDefault="00713AD1" w:rsidP="00713AD1">
      <w:pPr>
        <w:rPr>
          <w:sz w:val="24"/>
          <w:szCs w:val="24"/>
        </w:rPr>
      </w:pPr>
    </w:p>
    <w:p w14:paraId="7284684E" w14:textId="77777777" w:rsidR="00713AD1" w:rsidRDefault="00713AD1" w:rsidP="00713AD1">
      <w:pPr>
        <w:rPr>
          <w:sz w:val="24"/>
          <w:szCs w:val="24"/>
        </w:rPr>
      </w:pPr>
    </w:p>
    <w:p w14:paraId="2A31E6DD" w14:textId="5EC0A5D8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lastRenderedPageBreak/>
        <w:t>Pan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Genome &amp; Structural Strain Characterization</w:t>
      </w:r>
    </w:p>
    <w:p w14:paraId="577268C0" w14:textId="45EE732F" w:rsidR="00713AD1" w:rsidRPr="00713AD1" w:rsidRDefault="00713AD1" w:rsidP="00713AD1">
      <w:pPr>
        <w:numPr>
          <w:ilvl w:val="0"/>
          <w:numId w:val="8"/>
        </w:numPr>
        <w:rPr>
          <w:sz w:val="24"/>
          <w:szCs w:val="24"/>
        </w:rPr>
      </w:pPr>
      <w:r w:rsidRPr="00713AD1">
        <w:rPr>
          <w:sz w:val="24"/>
          <w:szCs w:val="24"/>
        </w:rPr>
        <w:t>Tool(s): BPGA (Bacterial Pan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 xml:space="preserve">Genome Analysis) framework for orthologous clustering; </w:t>
      </w:r>
      <w:proofErr w:type="spellStart"/>
      <w:r w:rsidRPr="00713AD1">
        <w:rPr>
          <w:sz w:val="24"/>
          <w:szCs w:val="24"/>
        </w:rPr>
        <w:t>SnpEff</w:t>
      </w:r>
      <w:proofErr w:type="spellEnd"/>
      <w:r w:rsidRPr="00713AD1">
        <w:rPr>
          <w:sz w:val="24"/>
          <w:szCs w:val="24"/>
        </w:rPr>
        <w:t xml:space="preserve"> for downstream classification and mapping of single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nucleotide variant effects; IPC (Isoelectric Point Calculator) for identifying proteome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wide charge signatures.</w:t>
      </w:r>
    </w:p>
    <w:p w14:paraId="5B297DFE" w14:textId="77777777" w:rsidR="00713AD1" w:rsidRPr="00713AD1" w:rsidRDefault="00713AD1" w:rsidP="00713AD1">
      <w:pPr>
        <w:numPr>
          <w:ilvl w:val="0"/>
          <w:numId w:val="8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Database(s): Reference genome </w:t>
      </w:r>
      <w:proofErr w:type="spellStart"/>
      <w:r w:rsidRPr="00713AD1">
        <w:rPr>
          <w:sz w:val="24"/>
          <w:szCs w:val="24"/>
        </w:rPr>
        <w:t>catalogs</w:t>
      </w:r>
      <w:proofErr w:type="spellEnd"/>
      <w:r w:rsidRPr="00713AD1">
        <w:rPr>
          <w:sz w:val="24"/>
          <w:szCs w:val="24"/>
        </w:rPr>
        <w:t xml:space="preserve"> of standard mesophilic relatives (e.g., standard </w:t>
      </w:r>
      <w:proofErr w:type="spellStart"/>
      <w:r w:rsidRPr="00713AD1">
        <w:rPr>
          <w:i/>
          <w:iCs/>
          <w:sz w:val="24"/>
          <w:szCs w:val="24"/>
        </w:rPr>
        <w:t>Paracoccus</w:t>
      </w:r>
      <w:proofErr w:type="spellEnd"/>
      <w:r w:rsidRPr="00713AD1">
        <w:rPr>
          <w:sz w:val="24"/>
          <w:szCs w:val="24"/>
        </w:rPr>
        <w:t xml:space="preserve"> strains) paired with hot spring isolate variants (such as strain SMMA_5).</w:t>
      </w:r>
    </w:p>
    <w:p w14:paraId="61D356DB" w14:textId="75F65390" w:rsidR="00713AD1" w:rsidRPr="00713AD1" w:rsidRDefault="00713AD1" w:rsidP="00713AD1">
      <w:pPr>
        <w:numPr>
          <w:ilvl w:val="0"/>
          <w:numId w:val="8"/>
        </w:numPr>
        <w:rPr>
          <w:sz w:val="24"/>
          <w:szCs w:val="24"/>
        </w:rPr>
      </w:pPr>
      <w:r w:rsidRPr="00713AD1">
        <w:rPr>
          <w:sz w:val="24"/>
          <w:szCs w:val="24"/>
        </w:rPr>
        <w:t>Normalization: Orthologous gene groupings bounded by strict sequence identity thresholds (</w:t>
      </w:r>
      <w:r>
        <w:rPr>
          <w:sz w:val="24"/>
          <w:szCs w:val="24"/>
        </w:rPr>
        <w:t>&gt;</w:t>
      </w:r>
      <w:r w:rsidRPr="00713AD1">
        <w:rPr>
          <w:sz w:val="24"/>
          <w:szCs w:val="24"/>
        </w:rPr>
        <w:t>50 matching parameters).</w:t>
      </w:r>
    </w:p>
    <w:p w14:paraId="03B80ABF" w14:textId="3EE9EFE9" w:rsidR="00713AD1" w:rsidRPr="00713AD1" w:rsidRDefault="00713AD1" w:rsidP="00713AD1">
      <w:pPr>
        <w:numPr>
          <w:ilvl w:val="0"/>
          <w:numId w:val="8"/>
        </w:numPr>
        <w:rPr>
          <w:sz w:val="24"/>
          <w:szCs w:val="24"/>
        </w:rPr>
      </w:pPr>
      <w:r w:rsidRPr="00713AD1">
        <w:rPr>
          <w:sz w:val="24"/>
          <w:szCs w:val="24"/>
        </w:rPr>
        <w:t>Goal of the analysis: Discriminate core hydrothermal genomes from international mesophilic backgrounds to uncover specific sequence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level adaptations that permit stable growth under extreme thermal stress.</w:t>
      </w:r>
    </w:p>
    <w:p w14:paraId="4680E62D" w14:textId="00E4A860" w:rsidR="00713AD1" w:rsidRPr="00713AD1" w:rsidRDefault="00713AD1" w:rsidP="00713AD1">
      <w:pPr>
        <w:numPr>
          <w:ilvl w:val="0"/>
          <w:numId w:val="8"/>
        </w:numPr>
        <w:rPr>
          <w:sz w:val="24"/>
          <w:szCs w:val="24"/>
        </w:rPr>
      </w:pPr>
      <w:r w:rsidRPr="00713AD1">
        <w:rPr>
          <w:sz w:val="24"/>
          <w:szCs w:val="24"/>
        </w:rPr>
        <w:t>Key metrics or statistical approaches: Pan vs. core genome sizing curves; single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nucleotide polymorphism (SNP) frequencies; computed distribution shifts in proteome-wide isoelectric points (</w:t>
      </w:r>
      <w:r>
        <w:rPr>
          <w:sz w:val="24"/>
          <w:szCs w:val="24"/>
        </w:rPr>
        <w:t>pi</w:t>
      </w:r>
      <w:r w:rsidRPr="00713AD1">
        <w:rPr>
          <w:sz w:val="24"/>
          <w:szCs w:val="24"/>
        </w:rPr>
        <w:t>) confirming structural alterations for enhanced protein stability.</w:t>
      </w:r>
    </w:p>
    <w:p w14:paraId="5A0B2D4E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>Functional Energetics &amp; Entropy Mitigation</w:t>
      </w:r>
    </w:p>
    <w:p w14:paraId="79D5E4D2" w14:textId="77777777" w:rsidR="00713AD1" w:rsidRPr="00713AD1" w:rsidRDefault="00713AD1" w:rsidP="00713AD1">
      <w:pPr>
        <w:numPr>
          <w:ilvl w:val="0"/>
          <w:numId w:val="9"/>
        </w:numPr>
        <w:rPr>
          <w:sz w:val="24"/>
          <w:szCs w:val="24"/>
        </w:rPr>
      </w:pPr>
      <w:r w:rsidRPr="00713AD1">
        <w:rPr>
          <w:sz w:val="24"/>
          <w:szCs w:val="24"/>
        </w:rPr>
        <w:t>Tool(s): Functional gene prediction software; annotation tools for identifying metabolic cassettes and transport machinery.</w:t>
      </w:r>
    </w:p>
    <w:p w14:paraId="1DB8442D" w14:textId="77777777" w:rsidR="00713AD1" w:rsidRPr="00713AD1" w:rsidRDefault="00713AD1" w:rsidP="00713AD1">
      <w:pPr>
        <w:numPr>
          <w:ilvl w:val="0"/>
          <w:numId w:val="9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Database(s): KEGG; </w:t>
      </w:r>
      <w:proofErr w:type="spellStart"/>
      <w:r w:rsidRPr="00713AD1">
        <w:rPr>
          <w:sz w:val="24"/>
          <w:szCs w:val="24"/>
        </w:rPr>
        <w:t>CAZy</w:t>
      </w:r>
      <w:proofErr w:type="spellEnd"/>
      <w:r w:rsidRPr="00713AD1">
        <w:rPr>
          <w:sz w:val="24"/>
          <w:szCs w:val="24"/>
        </w:rPr>
        <w:t>; reference databases detailing thiosulfate/</w:t>
      </w:r>
      <w:proofErr w:type="spellStart"/>
      <w:r w:rsidRPr="00713AD1">
        <w:rPr>
          <w:sz w:val="24"/>
          <w:szCs w:val="24"/>
        </w:rPr>
        <w:t>sulfur</w:t>
      </w:r>
      <w:proofErr w:type="spellEnd"/>
      <w:r w:rsidRPr="00713AD1">
        <w:rPr>
          <w:sz w:val="24"/>
          <w:szCs w:val="24"/>
        </w:rPr>
        <w:t xml:space="preserve"> oxidation logic, chemical chaperone transport networks, and structural interbacterial type IV/VI secretion killing machinery.</w:t>
      </w:r>
    </w:p>
    <w:p w14:paraId="411C3DCD" w14:textId="77777777" w:rsidR="00713AD1" w:rsidRPr="00713AD1" w:rsidRDefault="00713AD1" w:rsidP="00713AD1">
      <w:pPr>
        <w:numPr>
          <w:ilvl w:val="0"/>
          <w:numId w:val="9"/>
        </w:numPr>
        <w:rPr>
          <w:sz w:val="24"/>
          <w:szCs w:val="24"/>
        </w:rPr>
      </w:pPr>
      <w:r w:rsidRPr="00713AD1">
        <w:rPr>
          <w:sz w:val="24"/>
          <w:szCs w:val="24"/>
        </w:rPr>
        <w:t>Normalization: Count totals of target resistance and metabolic genes normalized against total genomic length baseline constants.</w:t>
      </w:r>
    </w:p>
    <w:p w14:paraId="737BB7F0" w14:textId="77777777" w:rsidR="00713AD1" w:rsidRPr="00713AD1" w:rsidRDefault="00713AD1" w:rsidP="00713AD1">
      <w:pPr>
        <w:numPr>
          <w:ilvl w:val="0"/>
          <w:numId w:val="9"/>
        </w:numPr>
        <w:rPr>
          <w:sz w:val="24"/>
          <w:szCs w:val="24"/>
        </w:rPr>
      </w:pPr>
      <w:r w:rsidRPr="00713AD1">
        <w:rPr>
          <w:sz w:val="24"/>
          <w:szCs w:val="24"/>
        </w:rPr>
        <w:t>Goal of the analysis: Delineate how metabolic networks leverage macromolecule-stabilizing (</w:t>
      </w:r>
      <w:proofErr w:type="spellStart"/>
      <w:r w:rsidRPr="00713AD1">
        <w:rPr>
          <w:sz w:val="24"/>
          <w:szCs w:val="24"/>
        </w:rPr>
        <w:t>kosmotropic</w:t>
      </w:r>
      <w:proofErr w:type="spellEnd"/>
      <w:r w:rsidRPr="00713AD1">
        <w:rPr>
          <w:sz w:val="24"/>
          <w:szCs w:val="24"/>
        </w:rPr>
        <w:t xml:space="preserve">) environmental components (such as borates, thiosulfate, sodium, and </w:t>
      </w:r>
      <w:proofErr w:type="spellStart"/>
      <w:r w:rsidRPr="00713AD1">
        <w:rPr>
          <w:sz w:val="24"/>
          <w:szCs w:val="24"/>
        </w:rPr>
        <w:t>sulfate</w:t>
      </w:r>
      <w:proofErr w:type="spellEnd"/>
      <w:r w:rsidRPr="00713AD1">
        <w:rPr>
          <w:sz w:val="24"/>
          <w:szCs w:val="24"/>
        </w:rPr>
        <w:t>) to buffer the cells against the entropic strain of near-boiling water.</w:t>
      </w:r>
    </w:p>
    <w:p w14:paraId="6C4C638D" w14:textId="3C6E16D7" w:rsidR="00713AD1" w:rsidRPr="00713AD1" w:rsidRDefault="00713AD1" w:rsidP="00713AD1">
      <w:pPr>
        <w:numPr>
          <w:ilvl w:val="0"/>
          <w:numId w:val="9"/>
        </w:numPr>
        <w:rPr>
          <w:sz w:val="24"/>
          <w:szCs w:val="24"/>
        </w:rPr>
      </w:pPr>
      <w:r w:rsidRPr="00713AD1">
        <w:rPr>
          <w:sz w:val="24"/>
          <w:szCs w:val="24"/>
        </w:rPr>
        <w:t xml:space="preserve">Key metrics or statistical approaches: Mapping the enrichment of molecular chaperones, radical-scavenging pathways, and </w:t>
      </w:r>
      <w:proofErr w:type="spellStart"/>
      <w:r w:rsidRPr="00713AD1">
        <w:rPr>
          <w:sz w:val="24"/>
          <w:szCs w:val="24"/>
        </w:rPr>
        <w:t>sulfur</w:t>
      </w:r>
      <w:proofErr w:type="spellEnd"/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cycling cascades; measuring experimental Colony Forming Unit (CFU) retention dynamics following heat conditioning (e.g., assessing survival enhancement via external lithium, boron, or glycine</w:t>
      </w:r>
      <w:r>
        <w:rPr>
          <w:sz w:val="24"/>
          <w:szCs w:val="24"/>
        </w:rPr>
        <w:t xml:space="preserve"> </w:t>
      </w:r>
      <w:r w:rsidRPr="00713AD1">
        <w:rPr>
          <w:sz w:val="24"/>
          <w:szCs w:val="24"/>
        </w:rPr>
        <w:t>betaine additions).</w:t>
      </w:r>
    </w:p>
    <w:p w14:paraId="499411AE" w14:textId="77777777" w:rsidR="00713AD1" w:rsidRPr="00713AD1" w:rsidRDefault="00713AD1" w:rsidP="00713AD1">
      <w:pPr>
        <w:rPr>
          <w:sz w:val="24"/>
          <w:szCs w:val="24"/>
        </w:rPr>
      </w:pPr>
      <w:r w:rsidRPr="00713AD1">
        <w:rPr>
          <w:sz w:val="24"/>
          <w:szCs w:val="24"/>
        </w:rPr>
        <w:t xml:space="preserve">Ecological &amp; Geochemical </w:t>
      </w:r>
      <w:proofErr w:type="spellStart"/>
      <w:r w:rsidRPr="00713AD1">
        <w:rPr>
          <w:sz w:val="24"/>
          <w:szCs w:val="24"/>
        </w:rPr>
        <w:t>Modeling</w:t>
      </w:r>
      <w:proofErr w:type="spellEnd"/>
    </w:p>
    <w:p w14:paraId="50772AFC" w14:textId="77777777" w:rsidR="00713AD1" w:rsidRPr="00713AD1" w:rsidRDefault="00713AD1" w:rsidP="00713AD1">
      <w:pPr>
        <w:numPr>
          <w:ilvl w:val="0"/>
          <w:numId w:val="10"/>
        </w:numPr>
        <w:rPr>
          <w:sz w:val="24"/>
          <w:szCs w:val="24"/>
        </w:rPr>
      </w:pPr>
      <w:r w:rsidRPr="00713AD1">
        <w:rPr>
          <w:sz w:val="24"/>
          <w:szCs w:val="24"/>
        </w:rPr>
        <w:t>Tool(s): Multivariate ecological plotting packages; R statistical environments for non-metric multidimensional projection and community grouping; vegan package for vector validation.</w:t>
      </w:r>
    </w:p>
    <w:p w14:paraId="06B8D92C" w14:textId="77777777" w:rsidR="00713AD1" w:rsidRPr="00713AD1" w:rsidRDefault="00713AD1" w:rsidP="00713AD1">
      <w:pPr>
        <w:numPr>
          <w:ilvl w:val="0"/>
          <w:numId w:val="10"/>
        </w:numPr>
        <w:rPr>
          <w:sz w:val="24"/>
          <w:szCs w:val="24"/>
        </w:rPr>
      </w:pPr>
      <w:r w:rsidRPr="00713AD1">
        <w:rPr>
          <w:sz w:val="24"/>
          <w:szCs w:val="24"/>
        </w:rPr>
        <w:lastRenderedPageBreak/>
        <w:t xml:space="preserve">Database(s): Comprehensive geochemical arrays tracking temperature, altitude barometric metrics, pH, </w:t>
      </w:r>
      <w:proofErr w:type="spellStart"/>
      <w:r w:rsidRPr="00713AD1">
        <w:rPr>
          <w:sz w:val="24"/>
          <w:szCs w:val="24"/>
        </w:rPr>
        <w:t>kosmotropic</w:t>
      </w:r>
      <w:proofErr w:type="spellEnd"/>
      <w:r w:rsidRPr="00713AD1">
        <w:rPr>
          <w:sz w:val="24"/>
          <w:szCs w:val="24"/>
        </w:rPr>
        <w:t xml:space="preserve"> solute concentrations (boron, thiosulfate), and drying mineral matrices.</w:t>
      </w:r>
    </w:p>
    <w:p w14:paraId="7C70155E" w14:textId="77777777" w:rsidR="00713AD1" w:rsidRPr="00713AD1" w:rsidRDefault="00713AD1" w:rsidP="00713AD1">
      <w:pPr>
        <w:numPr>
          <w:ilvl w:val="0"/>
          <w:numId w:val="10"/>
        </w:numPr>
        <w:rPr>
          <w:sz w:val="24"/>
          <w:szCs w:val="24"/>
        </w:rPr>
      </w:pPr>
      <w:r w:rsidRPr="00713AD1">
        <w:rPr>
          <w:sz w:val="24"/>
          <w:szCs w:val="24"/>
        </w:rPr>
        <w:t>Normalization: Filtering of rare abundance fragments to suppress spurious network nodes across environmental samples.</w:t>
      </w:r>
    </w:p>
    <w:p w14:paraId="72F0B3AD" w14:textId="77777777" w:rsidR="00713AD1" w:rsidRPr="00713AD1" w:rsidRDefault="00713AD1" w:rsidP="00713AD1">
      <w:pPr>
        <w:numPr>
          <w:ilvl w:val="0"/>
          <w:numId w:val="10"/>
        </w:numPr>
        <w:rPr>
          <w:sz w:val="24"/>
          <w:szCs w:val="24"/>
        </w:rPr>
      </w:pPr>
      <w:r w:rsidRPr="00713AD1">
        <w:rPr>
          <w:sz w:val="24"/>
          <w:szCs w:val="24"/>
        </w:rPr>
        <w:t>Goal of the analysis: Model the precise environmental and chemical factors that regulate microbial transitions along outflow channels and progress into drying mineral matrices.</w:t>
      </w:r>
    </w:p>
    <w:p w14:paraId="1729EFDB" w14:textId="77777777" w:rsidR="00713AD1" w:rsidRPr="00713AD1" w:rsidRDefault="00713AD1" w:rsidP="00713AD1">
      <w:pPr>
        <w:numPr>
          <w:ilvl w:val="0"/>
          <w:numId w:val="10"/>
        </w:numPr>
        <w:rPr>
          <w:sz w:val="24"/>
          <w:szCs w:val="24"/>
        </w:rPr>
      </w:pPr>
      <w:r w:rsidRPr="00713AD1">
        <w:rPr>
          <w:sz w:val="24"/>
          <w:szCs w:val="24"/>
        </w:rPr>
        <w:t>Key metrics or statistical approaches: Non-Metric Multidimensional Scaling (NMDS) and Principal Coordinate Analysis (</w:t>
      </w:r>
      <w:proofErr w:type="spellStart"/>
      <w:r w:rsidRPr="00713AD1">
        <w:rPr>
          <w:sz w:val="24"/>
          <w:szCs w:val="24"/>
        </w:rPr>
        <w:t>PCoA</w:t>
      </w:r>
      <w:proofErr w:type="spellEnd"/>
      <w:r w:rsidRPr="00713AD1">
        <w:rPr>
          <w:sz w:val="24"/>
          <w:szCs w:val="24"/>
        </w:rPr>
        <w:t>) paired with Permutational Multivariate Analysis of Variance (PERMANOVA) to test spatial community variance; correlation network modularity scores capturing the connectivity between extreme physical gradients and specialized structural bacterial communities.</w:t>
      </w:r>
    </w:p>
    <w:p w14:paraId="102A56EE" w14:textId="77777777" w:rsidR="000C3267" w:rsidRPr="00713AD1" w:rsidRDefault="000C3267" w:rsidP="00713AD1"/>
    <w:sectPr w:rsidR="000C3267" w:rsidRPr="00713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61EE"/>
    <w:multiLevelType w:val="multilevel"/>
    <w:tmpl w:val="779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11EC"/>
    <w:multiLevelType w:val="multilevel"/>
    <w:tmpl w:val="6E7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14E9"/>
    <w:multiLevelType w:val="multilevel"/>
    <w:tmpl w:val="B6E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C1ED9"/>
    <w:multiLevelType w:val="multilevel"/>
    <w:tmpl w:val="552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01BAB"/>
    <w:multiLevelType w:val="multilevel"/>
    <w:tmpl w:val="353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73245"/>
    <w:multiLevelType w:val="multilevel"/>
    <w:tmpl w:val="725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321EC"/>
    <w:multiLevelType w:val="multilevel"/>
    <w:tmpl w:val="147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51AA7"/>
    <w:multiLevelType w:val="multilevel"/>
    <w:tmpl w:val="6B3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776D0"/>
    <w:multiLevelType w:val="multilevel"/>
    <w:tmpl w:val="934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E1FB9"/>
    <w:multiLevelType w:val="multilevel"/>
    <w:tmpl w:val="79A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19771">
    <w:abstractNumId w:val="8"/>
  </w:num>
  <w:num w:numId="2" w16cid:durableId="826169256">
    <w:abstractNumId w:val="3"/>
  </w:num>
  <w:num w:numId="3" w16cid:durableId="682099063">
    <w:abstractNumId w:val="2"/>
  </w:num>
  <w:num w:numId="4" w16cid:durableId="143856740">
    <w:abstractNumId w:val="5"/>
  </w:num>
  <w:num w:numId="5" w16cid:durableId="1247690044">
    <w:abstractNumId w:val="9"/>
  </w:num>
  <w:num w:numId="6" w16cid:durableId="1484420749">
    <w:abstractNumId w:val="0"/>
  </w:num>
  <w:num w:numId="7" w16cid:durableId="1362710865">
    <w:abstractNumId w:val="6"/>
  </w:num>
  <w:num w:numId="8" w16cid:durableId="761073134">
    <w:abstractNumId w:val="4"/>
  </w:num>
  <w:num w:numId="9" w16cid:durableId="1962804900">
    <w:abstractNumId w:val="1"/>
  </w:num>
  <w:num w:numId="10" w16cid:durableId="904607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F0"/>
    <w:rsid w:val="000C3267"/>
    <w:rsid w:val="00227B78"/>
    <w:rsid w:val="00713AD1"/>
    <w:rsid w:val="007A7287"/>
    <w:rsid w:val="00850FB5"/>
    <w:rsid w:val="00D50FCE"/>
    <w:rsid w:val="00EF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CA9C"/>
  <w15:chartTrackingRefBased/>
  <w15:docId w15:val="{FEB42054-080F-4A66-9D73-F8A00584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1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oi.org/10.1371/journal.pone.03105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1038/s41598-020-62797-z" TargetMode="External"/><Relationship Id="rId5" Type="http://schemas.openxmlformats.org/officeDocument/2006/relationships/hyperlink" Target="https://www.google.com/search?q=https://doi.org/10.1128/spectrum.01606-2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2</cp:revision>
  <dcterms:created xsi:type="dcterms:W3CDTF">2026-06-15T17:09:00Z</dcterms:created>
  <dcterms:modified xsi:type="dcterms:W3CDTF">2026-06-15T17:27:00Z</dcterms:modified>
</cp:coreProperties>
</file>