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E718" w14:textId="77777777" w:rsidR="0013165C" w:rsidRPr="0013165C" w:rsidRDefault="0013165C" w:rsidP="0013165C">
      <w:pPr>
        <w:rPr>
          <w:b/>
          <w:bCs/>
          <w:sz w:val="32"/>
          <w:szCs w:val="32"/>
        </w:rPr>
      </w:pPr>
      <w:r w:rsidRPr="0013165C">
        <w:rPr>
          <w:b/>
          <w:bCs/>
          <w:sz w:val="32"/>
          <w:szCs w:val="32"/>
        </w:rPr>
        <w:t>Analysis Plan - SRP066880</w:t>
      </w:r>
    </w:p>
    <w:p w14:paraId="5EB64162" w14:textId="77777777" w:rsidR="0013165C" w:rsidRPr="0013165C" w:rsidRDefault="0013165C" w:rsidP="0013165C">
      <w:r w:rsidRPr="0013165C">
        <w:rPr>
          <w:b/>
          <w:bCs/>
        </w:rPr>
        <w:t>Study Accession:</w:t>
      </w:r>
      <w:r w:rsidRPr="0013165C">
        <w:t xml:space="preserve"> SRP066880 (SRA </w:t>
      </w:r>
      <w:proofErr w:type="spellStart"/>
      <w:r w:rsidRPr="0013165C">
        <w:t>BioProject</w:t>
      </w:r>
      <w:proofErr w:type="spellEnd"/>
      <w:r w:rsidRPr="0013165C">
        <w:t xml:space="preserve"> PRJNA301903)</w:t>
      </w:r>
    </w:p>
    <w:p w14:paraId="10F73940" w14:textId="77777777" w:rsidR="0013165C" w:rsidRPr="0013165C" w:rsidRDefault="0013165C" w:rsidP="0013165C">
      <w:r w:rsidRPr="0013165C">
        <w:rPr>
          <w:b/>
          <w:bCs/>
        </w:rPr>
        <w:t>Study Type:</w:t>
      </w:r>
      <w:r w:rsidRPr="0013165C">
        <w:t xml:space="preserve"> Environmental biotechnology, wastewater microbiome dynamics, and metabolic pathway </w:t>
      </w:r>
      <w:proofErr w:type="spellStart"/>
      <w:r w:rsidRPr="0013165C">
        <w:t>modeling</w:t>
      </w:r>
      <w:proofErr w:type="spellEnd"/>
    </w:p>
    <w:p w14:paraId="775C0E42" w14:textId="5DAA46D8" w:rsidR="0013165C" w:rsidRPr="0013165C" w:rsidRDefault="0013165C" w:rsidP="0013165C">
      <w:r w:rsidRPr="0013165C">
        <w:rPr>
          <w:b/>
          <w:bCs/>
        </w:rPr>
        <w:t>Sample Type:</w:t>
      </w:r>
      <w:r w:rsidRPr="0013165C">
        <w:t xml:space="preserve"> </w:t>
      </w:r>
      <w:proofErr w:type="spellStart"/>
      <w:r w:rsidRPr="0013165C">
        <w:t>Pre</w:t>
      </w:r>
      <w:r>
        <w:t xml:space="preserve"> </w:t>
      </w:r>
      <w:r w:rsidRPr="0013165C">
        <w:t>treated</w:t>
      </w:r>
      <w:proofErr w:type="spellEnd"/>
      <w:r w:rsidRPr="0013165C">
        <w:t xml:space="preserve"> activated sludge (influent/aeration tank) and post-treated secondary sludge (effluent/sludge holding tank) from a municipal wastewater treatment plant (WWTP)</w:t>
      </w:r>
    </w:p>
    <w:p w14:paraId="219BFB28" w14:textId="77777777" w:rsidR="0013165C" w:rsidRPr="0013165C" w:rsidRDefault="0013165C" w:rsidP="0013165C">
      <w:r w:rsidRPr="0013165C">
        <w:rPr>
          <w:b/>
          <w:bCs/>
        </w:rPr>
        <w:t>Associated Publications / DOIs:</w:t>
      </w:r>
    </w:p>
    <w:p w14:paraId="77FEE6B3" w14:textId="77777777" w:rsidR="0013165C" w:rsidRPr="0013165C" w:rsidRDefault="0013165C" w:rsidP="0013165C">
      <w:pPr>
        <w:numPr>
          <w:ilvl w:val="0"/>
          <w:numId w:val="1"/>
        </w:numPr>
      </w:pPr>
      <w:r w:rsidRPr="0013165C">
        <w:t>Sidhu et al., 2017 (</w:t>
      </w:r>
      <w:r w:rsidRPr="0013165C">
        <w:rPr>
          <w:i/>
          <w:iCs/>
        </w:rPr>
        <w:t xml:space="preserve">Front. </w:t>
      </w:r>
      <w:proofErr w:type="spellStart"/>
      <w:r w:rsidRPr="0013165C">
        <w:rPr>
          <w:i/>
          <w:iCs/>
        </w:rPr>
        <w:t>Microbiol</w:t>
      </w:r>
      <w:proofErr w:type="spellEnd"/>
      <w:r w:rsidRPr="0013165C">
        <w:rPr>
          <w:i/>
          <w:iCs/>
        </w:rPr>
        <w:t>.</w:t>
      </w:r>
      <w:r w:rsidRPr="0013165C">
        <w:t xml:space="preserve">): </w:t>
      </w:r>
      <w:hyperlink r:id="rId5" w:tgtFrame="_blank" w:history="1">
        <w:r w:rsidRPr="0013165C">
          <w:rPr>
            <w:rStyle w:val="Hyperlink"/>
          </w:rPr>
          <w:t>https://doi.org/10.3389/fmicb.2017.01382</w:t>
        </w:r>
      </w:hyperlink>
    </w:p>
    <w:p w14:paraId="08E55193" w14:textId="436F3519" w:rsidR="0013165C" w:rsidRPr="0013165C" w:rsidRDefault="0013165C" w:rsidP="0013165C">
      <w:r w:rsidRPr="0013165C">
        <w:rPr>
          <w:b/>
          <w:bCs/>
        </w:rPr>
        <w:t>Study Design:</w:t>
      </w:r>
      <w:r w:rsidRPr="0013165C">
        <w:t xml:space="preserve"> Metagenomic comparison unravelling the structural shifts and functional metabolic configurations of the microbial communities driving xenobiotic degradation and nutrient removal during biological wastewater purification. Samples collected before and after the secondary aeration and settling phases were processed to extract whole</w:t>
      </w:r>
      <w:r>
        <w:t xml:space="preserve"> </w:t>
      </w:r>
      <w:r w:rsidRPr="0013165C">
        <w:t>community environmental DNA. High</w:t>
      </w:r>
      <w:r>
        <w:t xml:space="preserve"> </w:t>
      </w:r>
      <w:r w:rsidRPr="0013165C">
        <w:t>throughput shotgun whole</w:t>
      </w:r>
      <w:r>
        <w:t xml:space="preserve"> </w:t>
      </w:r>
      <w:r w:rsidRPr="0013165C">
        <w:t xml:space="preserve">metagenome sequencing was executed on an Illumina platform to </w:t>
      </w:r>
      <w:proofErr w:type="spellStart"/>
      <w:r w:rsidRPr="0013165C">
        <w:t>catalog</w:t>
      </w:r>
      <w:proofErr w:type="spellEnd"/>
      <w:r w:rsidRPr="0013165C">
        <w:t xml:space="preserve"> taxonomic distribution changes, model nutrient cycling loops (nitrogen, </w:t>
      </w:r>
      <w:proofErr w:type="spellStart"/>
      <w:r w:rsidRPr="0013165C">
        <w:t>sulfur</w:t>
      </w:r>
      <w:proofErr w:type="spellEnd"/>
      <w:r w:rsidRPr="0013165C">
        <w:t>, and phosphorus), map antibiotic resistance gene (ARG) proliferation, and track the enrichment of xenobiotic degradation cassettes.</w:t>
      </w:r>
    </w:p>
    <w:p w14:paraId="60772148" w14:textId="77777777" w:rsidR="0013165C" w:rsidRPr="0013165C" w:rsidRDefault="0013165C" w:rsidP="0013165C">
      <w:pPr>
        <w:rPr>
          <w:b/>
          <w:bCs/>
        </w:rPr>
      </w:pPr>
      <w:r w:rsidRPr="0013165C">
        <w:rPr>
          <w:b/>
          <w:bCs/>
        </w:rPr>
        <w:t>Taxonomic Profiling &amp; Activated Sludge Biosystematics</w:t>
      </w:r>
    </w:p>
    <w:p w14:paraId="5544BFCA" w14:textId="77777777" w:rsidR="0013165C" w:rsidRPr="0013165C" w:rsidRDefault="0013165C" w:rsidP="0013165C">
      <w:pPr>
        <w:numPr>
          <w:ilvl w:val="0"/>
          <w:numId w:val="2"/>
        </w:numPr>
      </w:pPr>
      <w:r w:rsidRPr="0013165C">
        <w:rPr>
          <w:b/>
          <w:bCs/>
        </w:rPr>
        <w:t>Tool(s):</w:t>
      </w:r>
      <w:r w:rsidRPr="0013165C">
        <w:t xml:space="preserve"> FastQC or </w:t>
      </w:r>
      <w:proofErr w:type="spellStart"/>
      <w:r w:rsidRPr="0013165C">
        <w:t>fastp</w:t>
      </w:r>
      <w:proofErr w:type="spellEnd"/>
      <w:r w:rsidRPr="0013165C">
        <w:t xml:space="preserve"> for raw sequence read filtration; MG-RAST pipeline framework (v3.6) for automated quality trimming and structural domain assignment; </w:t>
      </w:r>
      <w:proofErr w:type="spellStart"/>
      <w:r w:rsidRPr="0013165C">
        <w:t>phyloseq</w:t>
      </w:r>
      <w:proofErr w:type="spellEnd"/>
      <w:r w:rsidRPr="0013165C">
        <w:t xml:space="preserve"> and Vegan R packages for biodiversity index scaling.</w:t>
      </w:r>
    </w:p>
    <w:p w14:paraId="497E9328" w14:textId="3AC9F3EC" w:rsidR="0013165C" w:rsidRPr="0013165C" w:rsidRDefault="0013165C" w:rsidP="0013165C">
      <w:pPr>
        <w:numPr>
          <w:ilvl w:val="0"/>
          <w:numId w:val="2"/>
        </w:numPr>
      </w:pPr>
      <w:r w:rsidRPr="0013165C">
        <w:rPr>
          <w:b/>
          <w:bCs/>
        </w:rPr>
        <w:t>Database(s):</w:t>
      </w:r>
      <w:r w:rsidRPr="0013165C">
        <w:t xml:space="preserve"> NCBI </w:t>
      </w:r>
      <w:proofErr w:type="spellStart"/>
      <w:r w:rsidRPr="0013165C">
        <w:t>RefSeq</w:t>
      </w:r>
      <w:proofErr w:type="spellEnd"/>
      <w:r w:rsidRPr="0013165C">
        <w:t xml:space="preserve"> non</w:t>
      </w:r>
      <w:r>
        <w:t xml:space="preserve"> </w:t>
      </w:r>
      <w:r w:rsidRPr="0013165C">
        <w:t>redundant database; M5nr non</w:t>
      </w:r>
      <w:r>
        <w:t xml:space="preserve"> </w:t>
      </w:r>
      <w:r w:rsidRPr="0013165C">
        <w:t>redundant reference library; SEED Subsystems database.</w:t>
      </w:r>
    </w:p>
    <w:p w14:paraId="17E03927" w14:textId="544BCCB1" w:rsidR="0013165C" w:rsidRPr="0013165C" w:rsidRDefault="0013165C" w:rsidP="0013165C">
      <w:pPr>
        <w:numPr>
          <w:ilvl w:val="0"/>
          <w:numId w:val="2"/>
        </w:numPr>
      </w:pPr>
      <w:r w:rsidRPr="0013165C">
        <w:rPr>
          <w:b/>
          <w:bCs/>
        </w:rPr>
        <w:t>Normalization:</w:t>
      </w:r>
      <w:r w:rsidRPr="0013165C">
        <w:t xml:space="preserve"> Raw sequence count tables normalized into length</w:t>
      </w:r>
      <w:r>
        <w:t xml:space="preserve"> </w:t>
      </w:r>
      <w:r w:rsidRPr="0013165C">
        <w:t>adjusted relative abundance percentages or log</w:t>
      </w:r>
      <w:r>
        <w:t xml:space="preserve"> </w:t>
      </w:r>
      <w:r w:rsidRPr="0013165C">
        <w:t>transformed scaling constants to correct for differing sequencing library sizes across treatment pools.</w:t>
      </w:r>
    </w:p>
    <w:p w14:paraId="0FFD5BEC" w14:textId="77777777" w:rsidR="0013165C" w:rsidRPr="0013165C" w:rsidRDefault="0013165C" w:rsidP="0013165C">
      <w:pPr>
        <w:numPr>
          <w:ilvl w:val="0"/>
          <w:numId w:val="2"/>
        </w:numPr>
      </w:pPr>
      <w:r w:rsidRPr="0013165C">
        <w:rPr>
          <w:b/>
          <w:bCs/>
        </w:rPr>
        <w:t>Goal of the analysis:</w:t>
      </w:r>
      <w:r w:rsidRPr="0013165C">
        <w:t xml:space="preserve"> Profile the primary core bacteriome architecture across the pre- and post-treatment sludge matrix, tracking how biological filtration selectively reshapes community configurations.</w:t>
      </w:r>
    </w:p>
    <w:p w14:paraId="05BC1C8B" w14:textId="2A4EFC49" w:rsidR="0013165C" w:rsidRPr="0013165C" w:rsidRDefault="0013165C" w:rsidP="0013165C">
      <w:pPr>
        <w:numPr>
          <w:ilvl w:val="0"/>
          <w:numId w:val="2"/>
        </w:numPr>
      </w:pPr>
      <w:r w:rsidRPr="0013165C">
        <w:rPr>
          <w:b/>
          <w:bCs/>
        </w:rPr>
        <w:t>Key metrics or statistical approaches:</w:t>
      </w:r>
      <w:r w:rsidRPr="0013165C">
        <w:t xml:space="preserve"> Structural alpha diversity estimators (Shannon entropy, Simpson indices, and Chao1 richness indicators) to measure taxonomic contraction; Principal Coordinate Analysis (</w:t>
      </w:r>
      <w:proofErr w:type="spellStart"/>
      <w:r w:rsidRPr="0013165C">
        <w:t>PCoA</w:t>
      </w:r>
      <w:proofErr w:type="spellEnd"/>
      <w:r w:rsidRPr="0013165C">
        <w:t>) on Bray</w:t>
      </w:r>
      <w:r>
        <w:t xml:space="preserve"> </w:t>
      </w:r>
      <w:r w:rsidRPr="0013165C">
        <w:t xml:space="preserve">Curtis dissimilarity distances to partition community variance across the purification process; sorting relative phylum/genus fractions to identify dominant activated sludge lineages (such as </w:t>
      </w:r>
      <w:r w:rsidRPr="0013165C">
        <w:rPr>
          <w:i/>
          <w:iCs/>
        </w:rPr>
        <w:t>Proteobacteria</w:t>
      </w:r>
      <w:r w:rsidRPr="0013165C">
        <w:t xml:space="preserve">, </w:t>
      </w:r>
      <w:r w:rsidRPr="0013165C">
        <w:rPr>
          <w:i/>
          <w:iCs/>
        </w:rPr>
        <w:t>Bacteroidetes</w:t>
      </w:r>
      <w:r w:rsidRPr="0013165C">
        <w:t xml:space="preserve">, </w:t>
      </w:r>
      <w:r w:rsidRPr="0013165C">
        <w:rPr>
          <w:i/>
          <w:iCs/>
        </w:rPr>
        <w:t>Firmicutes</w:t>
      </w:r>
      <w:r w:rsidRPr="0013165C">
        <w:t xml:space="preserve">, and </w:t>
      </w:r>
      <w:r w:rsidRPr="0013165C">
        <w:rPr>
          <w:i/>
          <w:iCs/>
        </w:rPr>
        <w:t>Actinobacteria</w:t>
      </w:r>
      <w:r w:rsidRPr="0013165C">
        <w:t>).</w:t>
      </w:r>
    </w:p>
    <w:p w14:paraId="1C9FAFA1" w14:textId="77777777" w:rsidR="0013165C" w:rsidRPr="0013165C" w:rsidRDefault="0013165C" w:rsidP="0013165C">
      <w:pPr>
        <w:rPr>
          <w:b/>
          <w:bCs/>
        </w:rPr>
      </w:pPr>
      <w:r w:rsidRPr="0013165C">
        <w:rPr>
          <w:b/>
          <w:bCs/>
        </w:rPr>
        <w:t>Nutrient Biogeochemistry &amp; Carbon Fixation Mapping</w:t>
      </w:r>
    </w:p>
    <w:p w14:paraId="352170A1" w14:textId="77777777" w:rsidR="0013165C" w:rsidRPr="0013165C" w:rsidRDefault="0013165C" w:rsidP="0013165C">
      <w:pPr>
        <w:numPr>
          <w:ilvl w:val="0"/>
          <w:numId w:val="3"/>
        </w:numPr>
      </w:pPr>
      <w:r w:rsidRPr="0013165C">
        <w:rPr>
          <w:b/>
          <w:bCs/>
        </w:rPr>
        <w:t>Tool(s):</w:t>
      </w:r>
      <w:r w:rsidRPr="0013165C">
        <w:t xml:space="preserve"> </w:t>
      </w:r>
      <w:proofErr w:type="spellStart"/>
      <w:r w:rsidRPr="0013165C">
        <w:t>MetaGeneMark</w:t>
      </w:r>
      <w:proofErr w:type="spellEnd"/>
      <w:r w:rsidRPr="0013165C">
        <w:t xml:space="preserve"> or </w:t>
      </w:r>
      <w:proofErr w:type="spellStart"/>
      <w:r w:rsidRPr="0013165C">
        <w:t>FragGeneScan</w:t>
      </w:r>
      <w:proofErr w:type="spellEnd"/>
      <w:r w:rsidRPr="0013165C">
        <w:t xml:space="preserve"> for </w:t>
      </w:r>
      <w:r w:rsidRPr="0013165C">
        <w:rPr>
          <w:i/>
          <w:iCs/>
        </w:rPr>
        <w:t>ab-initio</w:t>
      </w:r>
      <w:r w:rsidRPr="0013165C">
        <w:t xml:space="preserve"> open reading frame (ORF) and gene prediction from shotgun reads; </w:t>
      </w:r>
      <w:proofErr w:type="spellStart"/>
      <w:r w:rsidRPr="0013165C">
        <w:t>HUMAnN</w:t>
      </w:r>
      <w:proofErr w:type="spellEnd"/>
      <w:r w:rsidRPr="0013165C">
        <w:t xml:space="preserve"> or local alignment engines mapping functional cassettes.</w:t>
      </w:r>
    </w:p>
    <w:p w14:paraId="5EEAB2B8" w14:textId="77777777" w:rsidR="0013165C" w:rsidRPr="0013165C" w:rsidRDefault="0013165C" w:rsidP="0013165C">
      <w:pPr>
        <w:numPr>
          <w:ilvl w:val="0"/>
          <w:numId w:val="3"/>
        </w:numPr>
      </w:pPr>
      <w:r w:rsidRPr="0013165C">
        <w:rPr>
          <w:b/>
          <w:bCs/>
        </w:rPr>
        <w:t>Database(s):</w:t>
      </w:r>
      <w:r w:rsidRPr="0013165C">
        <w:t xml:space="preserve"> KEGG </w:t>
      </w:r>
      <w:proofErr w:type="spellStart"/>
      <w:r w:rsidRPr="0013165C">
        <w:t>Orthology</w:t>
      </w:r>
      <w:proofErr w:type="spellEnd"/>
      <w:r w:rsidRPr="0013165C">
        <w:t xml:space="preserve"> (KO) database; SEED Subsystems functional hierarchy </w:t>
      </w:r>
      <w:proofErr w:type="spellStart"/>
      <w:r w:rsidRPr="0013165C">
        <w:t>catalogs</w:t>
      </w:r>
      <w:proofErr w:type="spellEnd"/>
      <w:r w:rsidRPr="0013165C">
        <w:t>.</w:t>
      </w:r>
    </w:p>
    <w:p w14:paraId="6CD71BB3" w14:textId="04977272" w:rsidR="0013165C" w:rsidRPr="0013165C" w:rsidRDefault="0013165C" w:rsidP="0013165C">
      <w:pPr>
        <w:numPr>
          <w:ilvl w:val="0"/>
          <w:numId w:val="3"/>
        </w:numPr>
      </w:pPr>
      <w:r w:rsidRPr="0013165C">
        <w:rPr>
          <w:b/>
          <w:bCs/>
        </w:rPr>
        <w:lastRenderedPageBreak/>
        <w:t>Normalization:</w:t>
      </w:r>
      <w:r w:rsidRPr="0013165C">
        <w:t xml:space="preserve"> Functional </w:t>
      </w:r>
      <w:proofErr w:type="spellStart"/>
      <w:r w:rsidRPr="0013165C">
        <w:t>orthology</w:t>
      </w:r>
      <w:proofErr w:type="spellEnd"/>
      <w:r w:rsidRPr="0013165C">
        <w:t xml:space="preserve"> gene counts length</w:t>
      </w:r>
      <w:r>
        <w:t xml:space="preserve"> </w:t>
      </w:r>
      <w:r w:rsidRPr="0013165C">
        <w:t>normalized and expressed as Reads Per Kilobase per Million mapped reads (RPKM) or relative pathway coverage proportions.</w:t>
      </w:r>
    </w:p>
    <w:p w14:paraId="134EA096" w14:textId="77777777" w:rsidR="0013165C" w:rsidRPr="0013165C" w:rsidRDefault="0013165C" w:rsidP="0013165C">
      <w:pPr>
        <w:numPr>
          <w:ilvl w:val="0"/>
          <w:numId w:val="3"/>
        </w:numPr>
      </w:pPr>
      <w:r w:rsidRPr="0013165C">
        <w:rPr>
          <w:b/>
          <w:bCs/>
        </w:rPr>
        <w:t>Goal of the analysis:</w:t>
      </w:r>
      <w:r w:rsidRPr="0013165C">
        <w:t xml:space="preserve"> Reconstruct and compare functional metabolic pathways driving biological nutrient removal (BNR), explicitly detailing the genetic networks responsible for nitrification, denitrification, phosphorus accumulation, and </w:t>
      </w:r>
      <w:proofErr w:type="spellStart"/>
      <w:r w:rsidRPr="0013165C">
        <w:t>sulfur</w:t>
      </w:r>
      <w:proofErr w:type="spellEnd"/>
      <w:r w:rsidRPr="0013165C">
        <w:t xml:space="preserve"> cycling.</w:t>
      </w:r>
    </w:p>
    <w:p w14:paraId="4A734606" w14:textId="77777777" w:rsidR="0013165C" w:rsidRPr="0013165C" w:rsidRDefault="0013165C" w:rsidP="0013165C">
      <w:pPr>
        <w:numPr>
          <w:ilvl w:val="0"/>
          <w:numId w:val="3"/>
        </w:numPr>
      </w:pPr>
      <w:r w:rsidRPr="0013165C">
        <w:rPr>
          <w:b/>
          <w:bCs/>
        </w:rPr>
        <w:t>Key metrics or statistical approaches:</w:t>
      </w:r>
      <w:r w:rsidRPr="0013165C">
        <w:t xml:space="preserve"> Modularity completeness tracking of core nitrogen metabolism cassettes—specifically quantifying ammonia monooxygenase (</w:t>
      </w:r>
      <w:proofErr w:type="spellStart"/>
      <w:r w:rsidRPr="0013165C">
        <w:rPr>
          <w:i/>
          <w:iCs/>
        </w:rPr>
        <w:t>amoA</w:t>
      </w:r>
      <w:proofErr w:type="spellEnd"/>
      <w:r w:rsidRPr="0013165C">
        <w:t xml:space="preserve">, </w:t>
      </w:r>
      <w:proofErr w:type="spellStart"/>
      <w:r w:rsidRPr="0013165C">
        <w:rPr>
          <w:i/>
          <w:iCs/>
        </w:rPr>
        <w:t>amoB</w:t>
      </w:r>
      <w:proofErr w:type="spellEnd"/>
      <w:r w:rsidRPr="0013165C">
        <w:t xml:space="preserve">, </w:t>
      </w:r>
      <w:proofErr w:type="spellStart"/>
      <w:r w:rsidRPr="0013165C">
        <w:rPr>
          <w:i/>
          <w:iCs/>
        </w:rPr>
        <w:t>amoC</w:t>
      </w:r>
      <w:proofErr w:type="spellEnd"/>
      <w:r w:rsidRPr="0013165C">
        <w:t>), nitrite oxidoreductase (</w:t>
      </w:r>
      <w:proofErr w:type="spellStart"/>
      <w:r w:rsidRPr="0013165C">
        <w:rPr>
          <w:i/>
          <w:iCs/>
        </w:rPr>
        <w:t>nxrA</w:t>
      </w:r>
      <w:proofErr w:type="spellEnd"/>
      <w:r w:rsidRPr="0013165C">
        <w:t xml:space="preserve">, </w:t>
      </w:r>
      <w:proofErr w:type="spellStart"/>
      <w:r w:rsidRPr="0013165C">
        <w:rPr>
          <w:i/>
          <w:iCs/>
        </w:rPr>
        <w:t>nxrB</w:t>
      </w:r>
      <w:proofErr w:type="spellEnd"/>
      <w:r w:rsidRPr="0013165C">
        <w:t>), nitrate reductase (</w:t>
      </w:r>
      <w:proofErr w:type="spellStart"/>
      <w:r w:rsidRPr="0013165C">
        <w:rPr>
          <w:i/>
          <w:iCs/>
        </w:rPr>
        <w:t>narG</w:t>
      </w:r>
      <w:proofErr w:type="spellEnd"/>
      <w:r w:rsidRPr="0013165C">
        <w:t xml:space="preserve">, </w:t>
      </w:r>
      <w:proofErr w:type="spellStart"/>
      <w:r w:rsidRPr="0013165C">
        <w:rPr>
          <w:i/>
          <w:iCs/>
        </w:rPr>
        <w:t>napA</w:t>
      </w:r>
      <w:proofErr w:type="spellEnd"/>
      <w:r w:rsidRPr="0013165C">
        <w:t>), and nitrite reductase (</w:t>
      </w:r>
      <w:proofErr w:type="spellStart"/>
      <w:r w:rsidRPr="0013165C">
        <w:rPr>
          <w:i/>
          <w:iCs/>
        </w:rPr>
        <w:t>nirS</w:t>
      </w:r>
      <w:proofErr w:type="spellEnd"/>
      <w:r w:rsidRPr="0013165C">
        <w:t xml:space="preserve">, </w:t>
      </w:r>
      <w:proofErr w:type="spellStart"/>
      <w:r w:rsidRPr="0013165C">
        <w:rPr>
          <w:i/>
          <w:iCs/>
        </w:rPr>
        <w:t>nirK</w:t>
      </w:r>
      <w:proofErr w:type="spellEnd"/>
      <w:r w:rsidRPr="0013165C">
        <w:t>) gene footprints; monitoring polyphosphate kinase (</w:t>
      </w:r>
      <w:proofErr w:type="spellStart"/>
      <w:r w:rsidRPr="0013165C">
        <w:rPr>
          <w:i/>
          <w:iCs/>
        </w:rPr>
        <w:t>ppk</w:t>
      </w:r>
      <w:proofErr w:type="spellEnd"/>
      <w:r w:rsidRPr="0013165C">
        <w:t xml:space="preserve">) and </w:t>
      </w:r>
      <w:proofErr w:type="spellStart"/>
      <w:r w:rsidRPr="0013165C">
        <w:t>exopolyphosphatase</w:t>
      </w:r>
      <w:proofErr w:type="spellEnd"/>
      <w:r w:rsidRPr="0013165C">
        <w:t xml:space="preserve"> (</w:t>
      </w:r>
      <w:proofErr w:type="spellStart"/>
      <w:r w:rsidRPr="0013165C">
        <w:rPr>
          <w:i/>
          <w:iCs/>
        </w:rPr>
        <w:t>ppx</w:t>
      </w:r>
      <w:proofErr w:type="spellEnd"/>
      <w:r w:rsidRPr="0013165C">
        <w:t>) gene loads to model phosphorus accumulation.</w:t>
      </w:r>
    </w:p>
    <w:p w14:paraId="43524279" w14:textId="77777777" w:rsidR="0013165C" w:rsidRPr="0013165C" w:rsidRDefault="0013165C" w:rsidP="0013165C">
      <w:pPr>
        <w:rPr>
          <w:b/>
          <w:bCs/>
        </w:rPr>
      </w:pPr>
      <w:r w:rsidRPr="0013165C">
        <w:rPr>
          <w:b/>
          <w:bCs/>
        </w:rPr>
        <w:t>Xenobiotics Degrading Enzyme Discovery (</w:t>
      </w:r>
      <w:proofErr w:type="spellStart"/>
      <w:r w:rsidRPr="0013165C">
        <w:rPr>
          <w:b/>
          <w:bCs/>
        </w:rPr>
        <w:t>Plastizymes</w:t>
      </w:r>
      <w:proofErr w:type="spellEnd"/>
      <w:r w:rsidRPr="0013165C">
        <w:rPr>
          <w:b/>
          <w:bCs/>
        </w:rPr>
        <w:t xml:space="preserve"> &amp; Aromatics)</w:t>
      </w:r>
    </w:p>
    <w:p w14:paraId="45CD042F" w14:textId="77777777" w:rsidR="0013165C" w:rsidRPr="0013165C" w:rsidRDefault="0013165C" w:rsidP="0013165C">
      <w:pPr>
        <w:numPr>
          <w:ilvl w:val="0"/>
          <w:numId w:val="4"/>
        </w:numPr>
      </w:pPr>
      <w:r w:rsidRPr="0013165C">
        <w:rPr>
          <w:b/>
          <w:bCs/>
        </w:rPr>
        <w:t>Tool(s):</w:t>
      </w:r>
      <w:r w:rsidRPr="0013165C">
        <w:t xml:space="preserve"> Prodigal for coding sequence prediction; </w:t>
      </w:r>
      <w:proofErr w:type="spellStart"/>
      <w:r w:rsidRPr="0013165C">
        <w:t>eggNOG</w:t>
      </w:r>
      <w:proofErr w:type="spellEnd"/>
      <w:r w:rsidRPr="0013165C">
        <w:t xml:space="preserve">-mapper or DIAMOND for rapid homological enzyme categorization; </w:t>
      </w:r>
      <w:proofErr w:type="spellStart"/>
      <w:r w:rsidRPr="0013165C">
        <w:t>dbCAN</w:t>
      </w:r>
      <w:proofErr w:type="spellEnd"/>
      <w:r w:rsidRPr="0013165C">
        <w:t xml:space="preserve"> servers for carbohydrate-active enzyme (</w:t>
      </w:r>
      <w:proofErr w:type="spellStart"/>
      <w:r w:rsidRPr="0013165C">
        <w:t>CAZyme</w:t>
      </w:r>
      <w:proofErr w:type="spellEnd"/>
      <w:r w:rsidRPr="0013165C">
        <w:t>) domain profiling.</w:t>
      </w:r>
    </w:p>
    <w:p w14:paraId="65264BF3" w14:textId="77777777" w:rsidR="0013165C" w:rsidRPr="0013165C" w:rsidRDefault="0013165C" w:rsidP="0013165C">
      <w:pPr>
        <w:numPr>
          <w:ilvl w:val="0"/>
          <w:numId w:val="4"/>
        </w:numPr>
      </w:pPr>
      <w:r w:rsidRPr="0013165C">
        <w:rPr>
          <w:b/>
          <w:bCs/>
        </w:rPr>
        <w:t>Database(s):</w:t>
      </w:r>
      <w:r w:rsidRPr="0013165C">
        <w:t xml:space="preserve"> </w:t>
      </w:r>
      <w:proofErr w:type="spellStart"/>
      <w:r w:rsidRPr="0013165C">
        <w:t>CAZy</w:t>
      </w:r>
      <w:proofErr w:type="spellEnd"/>
      <w:r w:rsidRPr="0013165C">
        <w:t xml:space="preserve"> database; Kyoto </w:t>
      </w:r>
      <w:proofErr w:type="spellStart"/>
      <w:r w:rsidRPr="0013165C">
        <w:t>Encyclopedia</w:t>
      </w:r>
      <w:proofErr w:type="spellEnd"/>
      <w:r w:rsidRPr="0013165C">
        <w:t xml:space="preserve"> of Genes and Genomes (KEGG) mapping pathways for aromatic hydrocarbon, plasticizer, and surfactant breakdown.</w:t>
      </w:r>
    </w:p>
    <w:p w14:paraId="093C910F" w14:textId="77777777" w:rsidR="0013165C" w:rsidRPr="0013165C" w:rsidRDefault="0013165C" w:rsidP="0013165C">
      <w:pPr>
        <w:numPr>
          <w:ilvl w:val="0"/>
          <w:numId w:val="4"/>
        </w:numPr>
      </w:pPr>
      <w:r w:rsidRPr="0013165C">
        <w:rPr>
          <w:b/>
          <w:bCs/>
        </w:rPr>
        <w:t>Normalization:</w:t>
      </w:r>
      <w:r w:rsidRPr="0013165C">
        <w:t xml:space="preserve"> Protein sequence dereplication (using CD-HIT identity thresholds) to suppress redundant components, normalized by total genomic layout constants.</w:t>
      </w:r>
    </w:p>
    <w:p w14:paraId="73958F83" w14:textId="77777777" w:rsidR="0013165C" w:rsidRPr="0013165C" w:rsidRDefault="0013165C" w:rsidP="0013165C">
      <w:pPr>
        <w:numPr>
          <w:ilvl w:val="0"/>
          <w:numId w:val="4"/>
        </w:numPr>
      </w:pPr>
      <w:r w:rsidRPr="0013165C">
        <w:rPr>
          <w:b/>
          <w:bCs/>
        </w:rPr>
        <w:t>Goal of the analysis:</w:t>
      </w:r>
      <w:r w:rsidRPr="0013165C">
        <w:t xml:space="preserve"> Inventory the non-redundant coding </w:t>
      </w:r>
      <w:proofErr w:type="spellStart"/>
      <w:r w:rsidRPr="0013165C">
        <w:t>catalog</w:t>
      </w:r>
      <w:proofErr w:type="spellEnd"/>
      <w:r w:rsidRPr="0013165C">
        <w:t xml:space="preserve"> of the WWTP microbiome to isolate specialized biocatalysts and enzymes capable of breaking down persistent organic pollutants (POPs) and synthetic xenobiotics.</w:t>
      </w:r>
    </w:p>
    <w:p w14:paraId="4BAF9517" w14:textId="77777777" w:rsidR="0013165C" w:rsidRPr="0013165C" w:rsidRDefault="0013165C" w:rsidP="0013165C">
      <w:pPr>
        <w:numPr>
          <w:ilvl w:val="0"/>
          <w:numId w:val="4"/>
        </w:numPr>
      </w:pPr>
      <w:r w:rsidRPr="0013165C">
        <w:rPr>
          <w:b/>
          <w:bCs/>
        </w:rPr>
        <w:t>Key metrics or statistical approaches:</w:t>
      </w:r>
      <w:r w:rsidRPr="0013165C">
        <w:t xml:space="preserve"> Measuring absolute count and fractional enrichment shifts for alkane monooxygenases, catechol dioxygenases, esterases, hydrolases, and peroxidases between pre- and post-treated environments; mapping functional completeness of specific degradation cascades (e.g., benzoate, aminobenzoate, and polycyclic aromatic hydrocarbon breakdown pathways).</w:t>
      </w:r>
    </w:p>
    <w:p w14:paraId="29F780FA" w14:textId="77777777" w:rsidR="0013165C" w:rsidRPr="0013165C" w:rsidRDefault="0013165C" w:rsidP="0013165C">
      <w:pPr>
        <w:rPr>
          <w:b/>
          <w:bCs/>
        </w:rPr>
      </w:pPr>
      <w:proofErr w:type="spellStart"/>
      <w:r w:rsidRPr="0013165C">
        <w:rPr>
          <w:b/>
          <w:bCs/>
        </w:rPr>
        <w:t>Resistome</w:t>
      </w:r>
      <w:proofErr w:type="spellEnd"/>
      <w:r w:rsidRPr="0013165C">
        <w:rPr>
          <w:b/>
          <w:bCs/>
        </w:rPr>
        <w:t xml:space="preserve"> Inventory &amp; Public Health </w:t>
      </w:r>
      <w:proofErr w:type="spellStart"/>
      <w:r w:rsidRPr="0013165C">
        <w:rPr>
          <w:b/>
          <w:bCs/>
        </w:rPr>
        <w:t>Modeling</w:t>
      </w:r>
      <w:proofErr w:type="spellEnd"/>
    </w:p>
    <w:p w14:paraId="171BC6B2" w14:textId="77777777" w:rsidR="0013165C" w:rsidRPr="0013165C" w:rsidRDefault="0013165C" w:rsidP="0013165C">
      <w:pPr>
        <w:numPr>
          <w:ilvl w:val="0"/>
          <w:numId w:val="5"/>
        </w:numPr>
      </w:pPr>
      <w:r w:rsidRPr="0013165C">
        <w:rPr>
          <w:b/>
          <w:bCs/>
        </w:rPr>
        <w:t>Tool(s):</w:t>
      </w:r>
      <w:r w:rsidRPr="0013165C">
        <w:t xml:space="preserve"> Alignment-based antibiotic resistance gene (ARG) screening workflows; resistance mapping wrappers (such as </w:t>
      </w:r>
      <w:proofErr w:type="spellStart"/>
      <w:r w:rsidRPr="0013165C">
        <w:t>AMRFinderPlus</w:t>
      </w:r>
      <w:proofErr w:type="spellEnd"/>
      <w:r w:rsidRPr="0013165C">
        <w:t xml:space="preserve">, RGI-CARD, or </w:t>
      </w:r>
      <w:proofErr w:type="spellStart"/>
      <w:r w:rsidRPr="0013165C">
        <w:t>ResFinder</w:t>
      </w:r>
      <w:proofErr w:type="spellEnd"/>
      <w:r w:rsidRPr="0013165C">
        <w:t xml:space="preserve"> configurations).</w:t>
      </w:r>
    </w:p>
    <w:p w14:paraId="1FA26645" w14:textId="77777777" w:rsidR="0013165C" w:rsidRPr="0013165C" w:rsidRDefault="0013165C" w:rsidP="0013165C">
      <w:pPr>
        <w:numPr>
          <w:ilvl w:val="0"/>
          <w:numId w:val="5"/>
        </w:numPr>
      </w:pPr>
      <w:r w:rsidRPr="0013165C">
        <w:rPr>
          <w:b/>
          <w:bCs/>
        </w:rPr>
        <w:t>Database(s):</w:t>
      </w:r>
      <w:r w:rsidRPr="0013165C">
        <w:t xml:space="preserve"> Comprehensive Antibiotic Resistance Database (CARD); </w:t>
      </w:r>
      <w:proofErr w:type="spellStart"/>
      <w:r w:rsidRPr="0013165C">
        <w:t>MegaRes</w:t>
      </w:r>
      <w:proofErr w:type="spellEnd"/>
      <w:r w:rsidRPr="0013165C">
        <w:t xml:space="preserve"> reference </w:t>
      </w:r>
      <w:proofErr w:type="spellStart"/>
      <w:r w:rsidRPr="0013165C">
        <w:t>catalog</w:t>
      </w:r>
      <w:proofErr w:type="spellEnd"/>
      <w:r w:rsidRPr="0013165C">
        <w:t>.</w:t>
      </w:r>
    </w:p>
    <w:p w14:paraId="343A231C" w14:textId="590263A7" w:rsidR="0013165C" w:rsidRPr="0013165C" w:rsidRDefault="0013165C" w:rsidP="0013165C">
      <w:pPr>
        <w:numPr>
          <w:ilvl w:val="0"/>
          <w:numId w:val="5"/>
        </w:numPr>
      </w:pPr>
      <w:r w:rsidRPr="0013165C">
        <w:rPr>
          <w:b/>
          <w:bCs/>
        </w:rPr>
        <w:t>Normalization:</w:t>
      </w:r>
      <w:r w:rsidRPr="0013165C">
        <w:t xml:space="preserve"> Mapped ARG fragment counts mathematically normalized per million total mapped microbial reads (</w:t>
      </w:r>
      <w:proofErr w:type="spellStart"/>
      <w:r w:rsidRPr="0013165C">
        <w:t>rPM</w:t>
      </w:r>
      <w:proofErr w:type="spellEnd"/>
      <w:r w:rsidRPr="0013165C">
        <w:t>) or balanced directly against core household single</w:t>
      </w:r>
      <w:r>
        <w:t xml:space="preserve"> </w:t>
      </w:r>
      <w:r w:rsidRPr="0013165C">
        <w:t>copy chromosomal reference markers.</w:t>
      </w:r>
    </w:p>
    <w:p w14:paraId="3561ABEF" w14:textId="77777777" w:rsidR="0013165C" w:rsidRPr="0013165C" w:rsidRDefault="0013165C" w:rsidP="0013165C">
      <w:pPr>
        <w:numPr>
          <w:ilvl w:val="0"/>
          <w:numId w:val="5"/>
        </w:numPr>
      </w:pPr>
      <w:r w:rsidRPr="0013165C">
        <w:rPr>
          <w:b/>
          <w:bCs/>
        </w:rPr>
        <w:t>Goal of the analysis:</w:t>
      </w:r>
      <w:r w:rsidRPr="0013165C">
        <w:t xml:space="preserve"> Characterize, catalogue, and screen the mobilized and chromosomal </w:t>
      </w:r>
      <w:proofErr w:type="spellStart"/>
      <w:r w:rsidRPr="0013165C">
        <w:t>resistome</w:t>
      </w:r>
      <w:proofErr w:type="spellEnd"/>
      <w:r w:rsidRPr="0013165C">
        <w:t xml:space="preserve"> within the wastewater matrix, determining if treatment steps successfully drop or accidentally enrich clinical antibiotic resistance indicators.</w:t>
      </w:r>
    </w:p>
    <w:p w14:paraId="7F0DC397" w14:textId="1DB13E84" w:rsidR="0013165C" w:rsidRPr="0013165C" w:rsidRDefault="0013165C" w:rsidP="0013165C">
      <w:pPr>
        <w:numPr>
          <w:ilvl w:val="0"/>
          <w:numId w:val="5"/>
        </w:numPr>
      </w:pPr>
      <w:r w:rsidRPr="0013165C">
        <w:rPr>
          <w:b/>
          <w:bCs/>
        </w:rPr>
        <w:t>Key metrics or statistical approaches:</w:t>
      </w:r>
      <w:r w:rsidRPr="0013165C">
        <w:t xml:space="preserve"> Partitioning target ARGs by specific drug class mechanisms (e.g., beta-lactamases, aminoglycoside modifiers, </w:t>
      </w:r>
      <w:proofErr w:type="spellStart"/>
      <w:r w:rsidRPr="0013165C">
        <w:t>sulfonamide</w:t>
      </w:r>
      <w:proofErr w:type="spellEnd"/>
      <w:r w:rsidRPr="0013165C">
        <w:t xml:space="preserve"> resistance </w:t>
      </w:r>
      <w:r w:rsidRPr="0013165C">
        <w:rPr>
          <w:i/>
          <w:iCs/>
        </w:rPr>
        <w:t>sul1</w:t>
      </w:r>
      <w:r w:rsidRPr="0013165C">
        <w:t>/</w:t>
      </w:r>
      <w:r w:rsidRPr="0013165C">
        <w:rPr>
          <w:i/>
          <w:iCs/>
        </w:rPr>
        <w:t>sul2</w:t>
      </w:r>
      <w:r w:rsidRPr="0013165C">
        <w:t xml:space="preserve"> arrays, and multi-drug efflux pumps); evaluating differential abundance log</w:t>
      </w:r>
      <w:r>
        <w:t xml:space="preserve"> </w:t>
      </w:r>
      <w:r w:rsidRPr="0013165C">
        <w:t xml:space="preserve">fold </w:t>
      </w:r>
      <w:r w:rsidRPr="0013165C">
        <w:lastRenderedPageBreak/>
        <w:t>changes using tools like DESeq2 to track resistance mitigation efficiency across separate activated sludge compartments.</w:t>
      </w:r>
    </w:p>
    <w:p w14:paraId="7489166A"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7FFB"/>
    <w:multiLevelType w:val="multilevel"/>
    <w:tmpl w:val="097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F59E1"/>
    <w:multiLevelType w:val="multilevel"/>
    <w:tmpl w:val="A998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94CE1"/>
    <w:multiLevelType w:val="multilevel"/>
    <w:tmpl w:val="0EEC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21A6F"/>
    <w:multiLevelType w:val="multilevel"/>
    <w:tmpl w:val="97D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B008E"/>
    <w:multiLevelType w:val="multilevel"/>
    <w:tmpl w:val="0524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530583">
    <w:abstractNumId w:val="2"/>
  </w:num>
  <w:num w:numId="2" w16cid:durableId="91829118">
    <w:abstractNumId w:val="0"/>
  </w:num>
  <w:num w:numId="3" w16cid:durableId="26956856">
    <w:abstractNumId w:val="1"/>
  </w:num>
  <w:num w:numId="4" w16cid:durableId="804010302">
    <w:abstractNumId w:val="3"/>
  </w:num>
  <w:num w:numId="5" w16cid:durableId="2037467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5C"/>
    <w:rsid w:val="000C3267"/>
    <w:rsid w:val="0013165C"/>
    <w:rsid w:val="00227B78"/>
    <w:rsid w:val="007A7287"/>
    <w:rsid w:val="00850FB5"/>
    <w:rsid w:val="00B50D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7B120"/>
  <w15:chartTrackingRefBased/>
  <w15:docId w15:val="{3A4A2D96-79D8-4B4C-B06A-01CBCE1E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6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6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6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6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6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6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6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6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5C"/>
    <w:rPr>
      <w:rFonts w:eastAsiaTheme="majorEastAsia" w:cstheme="majorBidi"/>
      <w:color w:val="272727" w:themeColor="text1" w:themeTint="D8"/>
    </w:rPr>
  </w:style>
  <w:style w:type="paragraph" w:styleId="Title">
    <w:name w:val="Title"/>
    <w:basedOn w:val="Normal"/>
    <w:next w:val="Normal"/>
    <w:link w:val="TitleChar"/>
    <w:uiPriority w:val="10"/>
    <w:qFormat/>
    <w:rsid w:val="00131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5C"/>
    <w:pPr>
      <w:spacing w:before="160"/>
      <w:jc w:val="center"/>
    </w:pPr>
    <w:rPr>
      <w:i/>
      <w:iCs/>
      <w:color w:val="404040" w:themeColor="text1" w:themeTint="BF"/>
    </w:rPr>
  </w:style>
  <w:style w:type="character" w:customStyle="1" w:styleId="QuoteChar">
    <w:name w:val="Quote Char"/>
    <w:basedOn w:val="DefaultParagraphFont"/>
    <w:link w:val="Quote"/>
    <w:uiPriority w:val="29"/>
    <w:rsid w:val="0013165C"/>
    <w:rPr>
      <w:i/>
      <w:iCs/>
      <w:color w:val="404040" w:themeColor="text1" w:themeTint="BF"/>
    </w:rPr>
  </w:style>
  <w:style w:type="paragraph" w:styleId="ListParagraph">
    <w:name w:val="List Paragraph"/>
    <w:basedOn w:val="Normal"/>
    <w:uiPriority w:val="34"/>
    <w:qFormat/>
    <w:rsid w:val="0013165C"/>
    <w:pPr>
      <w:ind w:left="720"/>
      <w:contextualSpacing/>
    </w:pPr>
  </w:style>
  <w:style w:type="character" w:styleId="IntenseEmphasis">
    <w:name w:val="Intense Emphasis"/>
    <w:basedOn w:val="DefaultParagraphFont"/>
    <w:uiPriority w:val="21"/>
    <w:qFormat/>
    <w:rsid w:val="0013165C"/>
    <w:rPr>
      <w:i/>
      <w:iCs/>
      <w:color w:val="2F5496" w:themeColor="accent1" w:themeShade="BF"/>
    </w:rPr>
  </w:style>
  <w:style w:type="paragraph" w:styleId="IntenseQuote">
    <w:name w:val="Intense Quote"/>
    <w:basedOn w:val="Normal"/>
    <w:next w:val="Normal"/>
    <w:link w:val="IntenseQuoteChar"/>
    <w:uiPriority w:val="30"/>
    <w:qFormat/>
    <w:rsid w:val="001316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65C"/>
    <w:rPr>
      <w:i/>
      <w:iCs/>
      <w:color w:val="2F5496" w:themeColor="accent1" w:themeShade="BF"/>
    </w:rPr>
  </w:style>
  <w:style w:type="character" w:styleId="IntenseReference">
    <w:name w:val="Intense Reference"/>
    <w:basedOn w:val="DefaultParagraphFont"/>
    <w:uiPriority w:val="32"/>
    <w:qFormat/>
    <w:rsid w:val="0013165C"/>
    <w:rPr>
      <w:b/>
      <w:bCs/>
      <w:smallCaps/>
      <w:color w:val="2F5496" w:themeColor="accent1" w:themeShade="BF"/>
      <w:spacing w:val="5"/>
    </w:rPr>
  </w:style>
  <w:style w:type="character" w:styleId="Hyperlink">
    <w:name w:val="Hyperlink"/>
    <w:basedOn w:val="DefaultParagraphFont"/>
    <w:uiPriority w:val="99"/>
    <w:unhideWhenUsed/>
    <w:rsid w:val="0013165C"/>
    <w:rPr>
      <w:color w:val="0563C1" w:themeColor="hyperlink"/>
      <w:u w:val="single"/>
    </w:rPr>
  </w:style>
  <w:style w:type="character" w:styleId="UnresolvedMention">
    <w:name w:val="Unresolved Mention"/>
    <w:basedOn w:val="DefaultParagraphFont"/>
    <w:uiPriority w:val="99"/>
    <w:semiHidden/>
    <w:unhideWhenUsed/>
    <w:rsid w:val="00131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doi.org/10.3389/fmicb.2017.0138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900</Words>
  <Characters>5134</Characters>
  <Application>Microsoft Office Word</Application>
  <DocSecurity>0</DocSecurity>
  <Lines>42</Lines>
  <Paragraphs>12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2026-06-25T05:09:00Z</dcterms:created>
  <dcterms:modified xsi:type="dcterms:W3CDTF">2026-06-25T05:13:00Z</dcterms:modified>
</cp:coreProperties>
</file>