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46D7E" w14:textId="77777777" w:rsidR="00AD2235" w:rsidRPr="00AD2235" w:rsidRDefault="00AD2235" w:rsidP="00AD2235">
      <w:pPr>
        <w:rPr>
          <w:b/>
          <w:bCs/>
          <w:sz w:val="36"/>
          <w:szCs w:val="36"/>
        </w:rPr>
      </w:pPr>
      <w:r w:rsidRPr="00AD2235">
        <w:rPr>
          <w:b/>
          <w:bCs/>
          <w:sz w:val="36"/>
          <w:szCs w:val="36"/>
        </w:rPr>
        <w:t>Analysis Plan - SRP190006</w:t>
      </w:r>
    </w:p>
    <w:p w14:paraId="6BF8FEF1" w14:textId="77777777" w:rsidR="00AD2235" w:rsidRDefault="00AD2235" w:rsidP="00AD2235">
      <w:r w:rsidRPr="00AD2235">
        <w:rPr>
          <w:b/>
          <w:bCs/>
        </w:rPr>
        <w:t>Study Accession:</w:t>
      </w:r>
      <w:r w:rsidRPr="00AD2235">
        <w:t xml:space="preserve"> SRP190006 (SRA </w:t>
      </w:r>
      <w:proofErr w:type="spellStart"/>
      <w:r w:rsidRPr="00AD2235">
        <w:t>BioProject</w:t>
      </w:r>
      <w:proofErr w:type="spellEnd"/>
      <w:r w:rsidRPr="00AD2235">
        <w:t xml:space="preserve"> PRJNA529966) </w:t>
      </w:r>
    </w:p>
    <w:p w14:paraId="626BB3D3" w14:textId="6C96E1E1" w:rsidR="00AD2235" w:rsidRDefault="00AD2235" w:rsidP="00AD2235">
      <w:r w:rsidRPr="00AD2235">
        <w:rPr>
          <w:b/>
          <w:bCs/>
        </w:rPr>
        <w:t>Study Type:</w:t>
      </w:r>
      <w:r w:rsidRPr="00AD2235">
        <w:t xml:space="preserve"> Traditional ethnic food microbiomics, seasonal succession, and functional metagenomics </w:t>
      </w:r>
      <w:r w:rsidRPr="00AD2235">
        <w:rPr>
          <w:b/>
          <w:bCs/>
        </w:rPr>
        <w:t>Sample Type:</w:t>
      </w:r>
      <w:r w:rsidRPr="00AD2235">
        <w:t xml:space="preserve"> Ethnic naturally fermented sticky soybean product (</w:t>
      </w:r>
      <w:r w:rsidRPr="00AD2235">
        <w:rPr>
          <w:i/>
          <w:iCs/>
        </w:rPr>
        <w:t>Kinema</w:t>
      </w:r>
      <w:r w:rsidRPr="00AD2235">
        <w:t xml:space="preserve">) collected from traditional </w:t>
      </w:r>
      <w:proofErr w:type="gramStart"/>
      <w:r w:rsidRPr="00AD2235">
        <w:t>high</w:t>
      </w:r>
      <w:r>
        <w:t xml:space="preserve"> </w:t>
      </w:r>
      <w:r w:rsidRPr="00AD2235">
        <w:t>altitude</w:t>
      </w:r>
      <w:proofErr w:type="gramEnd"/>
      <w:r w:rsidRPr="00AD2235">
        <w:t xml:space="preserve"> markets </w:t>
      </w:r>
    </w:p>
    <w:p w14:paraId="746962FF" w14:textId="4A59645A" w:rsidR="00AD2235" w:rsidRPr="00AD2235" w:rsidRDefault="00AD2235" w:rsidP="00AD2235">
      <w:r w:rsidRPr="00AD2235">
        <w:rPr>
          <w:b/>
          <w:bCs/>
        </w:rPr>
        <w:t>Associated Publications / DOIs:</w:t>
      </w:r>
      <w:r w:rsidRPr="00AD2235">
        <w:t xml:space="preserve"> </w:t>
      </w:r>
    </w:p>
    <w:p w14:paraId="0A07C3F4" w14:textId="77777777" w:rsidR="00AD2235" w:rsidRPr="00AD2235" w:rsidRDefault="00AD2235" w:rsidP="00AD2235">
      <w:pPr>
        <w:numPr>
          <w:ilvl w:val="0"/>
          <w:numId w:val="1"/>
        </w:numPr>
      </w:pPr>
      <w:r w:rsidRPr="00AD2235">
        <w:t>Kumar et al., 2019 (</w:t>
      </w:r>
      <w:r w:rsidRPr="00AD2235">
        <w:rPr>
          <w:i/>
          <w:iCs/>
        </w:rPr>
        <w:t xml:space="preserve">Front. </w:t>
      </w:r>
      <w:proofErr w:type="spellStart"/>
      <w:r w:rsidRPr="00AD2235">
        <w:rPr>
          <w:i/>
          <w:iCs/>
        </w:rPr>
        <w:t>Microbiol</w:t>
      </w:r>
      <w:proofErr w:type="spellEnd"/>
      <w:r w:rsidRPr="00AD2235">
        <w:rPr>
          <w:i/>
          <w:iCs/>
        </w:rPr>
        <w:t>.</w:t>
      </w:r>
      <w:r w:rsidRPr="00AD2235">
        <w:t xml:space="preserve">): 10.3389/fmicb.2019.01744 </w:t>
      </w:r>
    </w:p>
    <w:p w14:paraId="66F53018" w14:textId="29662A66" w:rsidR="00AD2235" w:rsidRPr="00AD2235" w:rsidRDefault="00AD2235" w:rsidP="00AD2235">
      <w:r w:rsidRPr="00AD2235">
        <w:rPr>
          <w:b/>
          <w:bCs/>
        </w:rPr>
        <w:t>Study Design:</w:t>
      </w:r>
      <w:r w:rsidRPr="00AD2235">
        <w:t xml:space="preserve"> Metagenomic evaluation of </w:t>
      </w:r>
      <w:r w:rsidRPr="00AD2235">
        <w:rPr>
          <w:i/>
          <w:iCs/>
        </w:rPr>
        <w:t>Kinema</w:t>
      </w:r>
      <w:r w:rsidRPr="00AD2235">
        <w:t xml:space="preserve"> collected across four distinct seasonal phases over two consecutive years: September to October (SO), December to January (DJ), March to April (MA), and June to July (JJ) in Gangtok, Sikkim, India. Weekly sample fractions for each season were pooled, homogenized, and subjected to membrane filtration (10μm) to strip plant cell matrices prior to total microbial genomic DNA extraction. Shotgun metagenomic libraries prepared with </w:t>
      </w:r>
      <w:proofErr w:type="spellStart"/>
      <w:r w:rsidRPr="00AD2235">
        <w:t>TruSeq</w:t>
      </w:r>
      <w:proofErr w:type="spellEnd"/>
      <w:r w:rsidRPr="00AD2235">
        <w:t xml:space="preserve"> Nano kits were sequenced on the Illumina </w:t>
      </w:r>
      <w:proofErr w:type="spellStart"/>
      <w:r w:rsidRPr="00AD2235">
        <w:t>HiSeq</w:t>
      </w:r>
      <w:proofErr w:type="spellEnd"/>
      <w:r w:rsidRPr="00AD2235">
        <w:t xml:space="preserve"> 2500 platform (2</w:t>
      </w:r>
      <w:r>
        <w:t>*</w:t>
      </w:r>
      <w:r w:rsidRPr="00AD2235">
        <w:t xml:space="preserve">150 bp </w:t>
      </w:r>
      <w:proofErr w:type="spellStart"/>
      <w:r w:rsidRPr="00AD2235">
        <w:t>pairedchemistry</w:t>
      </w:r>
      <w:proofErr w:type="spellEnd"/>
      <w:r w:rsidRPr="00AD2235">
        <w:t>). Downstream analysis evaluates how climate changes impact community dynamics, regulating beneficial probiotic candidates against critical multidrug</w:t>
      </w:r>
      <w:r>
        <w:t xml:space="preserve"> </w:t>
      </w:r>
      <w:r w:rsidRPr="00AD2235">
        <w:t>resistant pathobionts, paired with functional screening for bioactive peptides, carbohydrate</w:t>
      </w:r>
      <w:r>
        <w:t xml:space="preserve"> </w:t>
      </w:r>
      <w:r w:rsidRPr="00AD2235">
        <w:t>active enzymes (</w:t>
      </w:r>
      <w:proofErr w:type="spellStart"/>
      <w:r w:rsidRPr="00AD2235">
        <w:t>CAZymes</w:t>
      </w:r>
      <w:proofErr w:type="spellEnd"/>
      <w:r w:rsidRPr="00AD2235">
        <w:t>), and gamma</w:t>
      </w:r>
      <w:r>
        <w:t xml:space="preserve"> </w:t>
      </w:r>
      <w:r w:rsidRPr="00AD2235">
        <w:t xml:space="preserve">aminobutyric acid (GABA) biosynthetic genes. </w:t>
      </w:r>
    </w:p>
    <w:p w14:paraId="6742FB5B" w14:textId="77777777" w:rsidR="00AD2235" w:rsidRPr="00AD2235" w:rsidRDefault="00AD2235" w:rsidP="00AD2235">
      <w:pPr>
        <w:rPr>
          <w:b/>
          <w:bCs/>
        </w:rPr>
      </w:pPr>
      <w:r w:rsidRPr="00AD2235">
        <w:rPr>
          <w:b/>
          <w:bCs/>
        </w:rPr>
        <w:t>Taxonomic / Microbiome Profiling</w:t>
      </w:r>
    </w:p>
    <w:p w14:paraId="0FB1CED1" w14:textId="77777777" w:rsidR="00AD2235" w:rsidRPr="00AD2235" w:rsidRDefault="00AD2235" w:rsidP="00AD2235">
      <w:pPr>
        <w:numPr>
          <w:ilvl w:val="0"/>
          <w:numId w:val="2"/>
        </w:numPr>
      </w:pPr>
      <w:r w:rsidRPr="00AD2235">
        <w:rPr>
          <w:b/>
          <w:bCs/>
        </w:rPr>
        <w:t>Tool(s):</w:t>
      </w:r>
      <w:r w:rsidRPr="00AD2235">
        <w:t xml:space="preserve"> CLC Genomics Workbench for quality filtering and </w:t>
      </w:r>
      <w:r w:rsidRPr="00AD2235">
        <w:rPr>
          <w:i/>
          <w:iCs/>
        </w:rPr>
        <w:t>de novo</w:t>
      </w:r>
      <w:r w:rsidRPr="00AD2235">
        <w:t xml:space="preserve"> assembly; Prodigal (v2.6.3) for ab-initio open reading frame (ORF) and gene prediction; MG-RAST pipeline against </w:t>
      </w:r>
      <w:proofErr w:type="spellStart"/>
      <w:r w:rsidRPr="00AD2235">
        <w:t>RefSeq</w:t>
      </w:r>
      <w:proofErr w:type="spellEnd"/>
      <w:r w:rsidRPr="00AD2235">
        <w:t xml:space="preserve">. </w:t>
      </w:r>
    </w:p>
    <w:p w14:paraId="3357EBF6" w14:textId="77777777" w:rsidR="00AD2235" w:rsidRPr="00AD2235" w:rsidRDefault="00AD2235" w:rsidP="00AD2235">
      <w:pPr>
        <w:numPr>
          <w:ilvl w:val="0"/>
          <w:numId w:val="2"/>
        </w:numPr>
      </w:pPr>
      <w:r w:rsidRPr="00AD2235">
        <w:rPr>
          <w:b/>
          <w:bCs/>
        </w:rPr>
        <w:t>Database(s):</w:t>
      </w:r>
      <w:r w:rsidRPr="00AD2235">
        <w:t xml:space="preserve"> NCBI </w:t>
      </w:r>
      <w:proofErr w:type="spellStart"/>
      <w:r w:rsidRPr="00AD2235">
        <w:t>RefSeq</w:t>
      </w:r>
      <w:proofErr w:type="spellEnd"/>
      <w:r w:rsidRPr="00AD2235">
        <w:t xml:space="preserve"> database; Clusters of Orthologous Groups (COGs); KEGG </w:t>
      </w:r>
      <w:proofErr w:type="spellStart"/>
      <w:r w:rsidRPr="00AD2235">
        <w:t>Orthology</w:t>
      </w:r>
      <w:proofErr w:type="spellEnd"/>
      <w:r w:rsidRPr="00AD2235">
        <w:t xml:space="preserve">. </w:t>
      </w:r>
    </w:p>
    <w:p w14:paraId="4F041382" w14:textId="4432CD63" w:rsidR="00AD2235" w:rsidRPr="00AD2235" w:rsidRDefault="00AD2235" w:rsidP="00AD2235">
      <w:pPr>
        <w:numPr>
          <w:ilvl w:val="0"/>
          <w:numId w:val="2"/>
        </w:numPr>
      </w:pPr>
      <w:r w:rsidRPr="00AD2235">
        <w:rPr>
          <w:b/>
          <w:bCs/>
        </w:rPr>
        <w:t>Normalization:</w:t>
      </w:r>
      <w:r w:rsidRPr="00AD2235">
        <w:t xml:space="preserve"> Read count datasets filtered to ensure a </w:t>
      </w:r>
      <w:proofErr w:type="gramStart"/>
      <w:r w:rsidRPr="00AD2235">
        <w:t>high quality</w:t>
      </w:r>
      <w:proofErr w:type="gramEnd"/>
      <w:r w:rsidRPr="00AD2235">
        <w:t xml:space="preserve"> threshold (</w:t>
      </w:r>
      <w:r>
        <w:t>&gt;</w:t>
      </w:r>
      <w:r w:rsidRPr="00AD2235">
        <w:t>Q</w:t>
      </w:r>
      <w:r w:rsidRPr="00AD2235">
        <w:rPr>
          <w:vertAlign w:val="subscript"/>
        </w:rPr>
        <w:t>30</w:t>
      </w:r>
      <w:proofErr w:type="gramStart"/>
      <w:r w:rsidRPr="00AD2235">
        <w:t>) ;</w:t>
      </w:r>
      <w:proofErr w:type="gramEnd"/>
      <w:r w:rsidRPr="00AD2235">
        <w:t xml:space="preserve"> mapped sequence counts adjusted to relative abundance percentage matrices. </w:t>
      </w:r>
    </w:p>
    <w:p w14:paraId="6A6D4594" w14:textId="77777777" w:rsidR="00AD2235" w:rsidRPr="00AD2235" w:rsidRDefault="00AD2235" w:rsidP="00AD2235">
      <w:pPr>
        <w:numPr>
          <w:ilvl w:val="0"/>
          <w:numId w:val="2"/>
        </w:numPr>
      </w:pPr>
      <w:r w:rsidRPr="00AD2235">
        <w:rPr>
          <w:b/>
          <w:bCs/>
        </w:rPr>
        <w:t>Goal of the analysis:</w:t>
      </w:r>
      <w:r w:rsidRPr="00AD2235">
        <w:t xml:space="preserve"> Profile the primary core bacterial and domain structures across seasons; investigate taxonomic succession variations under extreme climate shifts in the Sikkim Himalaya region. </w:t>
      </w:r>
    </w:p>
    <w:p w14:paraId="7D13396B" w14:textId="77777777" w:rsidR="00AD2235" w:rsidRPr="00AD2235" w:rsidRDefault="00AD2235" w:rsidP="00AD2235">
      <w:pPr>
        <w:numPr>
          <w:ilvl w:val="0"/>
          <w:numId w:val="2"/>
        </w:numPr>
      </w:pPr>
      <w:r w:rsidRPr="00AD2235">
        <w:rPr>
          <w:b/>
          <w:bCs/>
        </w:rPr>
        <w:t>Key metrics or statistical approaches:</w:t>
      </w:r>
      <w:r w:rsidRPr="00AD2235">
        <w:t xml:space="preserve"> Principal Component Analysis (PCA) models mapping taxonomic relative abundances across separate seasonal clusters; Spearman's correlation tracking co-occurrence networks. Proves massive dominance of the phylum Firmicutes (82.31–93.99%), followed by Actinobacteria and Proteobacteria. Core species profiles identify </w:t>
      </w:r>
      <w:r w:rsidRPr="00AD2235">
        <w:rPr>
          <w:i/>
          <w:iCs/>
        </w:rPr>
        <w:t>Bacillus subtilis</w:t>
      </w:r>
      <w:r w:rsidRPr="00AD2235">
        <w:t xml:space="preserve"> (6.65–12.02%), </w:t>
      </w:r>
      <w:r w:rsidRPr="00AD2235">
        <w:rPr>
          <w:i/>
          <w:iCs/>
        </w:rPr>
        <w:t xml:space="preserve">Bacillus </w:t>
      </w:r>
      <w:proofErr w:type="spellStart"/>
      <w:r w:rsidRPr="00AD2235">
        <w:rPr>
          <w:i/>
          <w:iCs/>
        </w:rPr>
        <w:t>amyloliquefaciens</w:t>
      </w:r>
      <w:proofErr w:type="spellEnd"/>
      <w:r w:rsidRPr="00AD2235">
        <w:t xml:space="preserve">, </w:t>
      </w:r>
      <w:r w:rsidRPr="00AD2235">
        <w:rPr>
          <w:i/>
          <w:iCs/>
        </w:rPr>
        <w:t>Bacillus licheniformis</w:t>
      </w:r>
      <w:r w:rsidRPr="00AD2235">
        <w:t xml:space="preserve">, </w:t>
      </w:r>
      <w:r w:rsidRPr="00AD2235">
        <w:rPr>
          <w:i/>
          <w:iCs/>
        </w:rPr>
        <w:t xml:space="preserve">Corynebacterium </w:t>
      </w:r>
      <w:proofErr w:type="spellStart"/>
      <w:r w:rsidRPr="00AD2235">
        <w:rPr>
          <w:i/>
          <w:iCs/>
        </w:rPr>
        <w:t>glutamicum</w:t>
      </w:r>
      <w:proofErr w:type="spellEnd"/>
      <w:r w:rsidRPr="00AD2235">
        <w:t xml:space="preserve">, and </w:t>
      </w:r>
      <w:r w:rsidRPr="00AD2235">
        <w:rPr>
          <w:i/>
          <w:iCs/>
        </w:rPr>
        <w:t>Lactococcus lactis</w:t>
      </w:r>
      <w:r w:rsidRPr="00AD2235">
        <w:t xml:space="preserve">. </w:t>
      </w:r>
    </w:p>
    <w:p w14:paraId="658ECB55" w14:textId="77777777" w:rsidR="00AD2235" w:rsidRPr="00AD2235" w:rsidRDefault="00AD2235" w:rsidP="00AD2235">
      <w:pPr>
        <w:rPr>
          <w:b/>
          <w:bCs/>
        </w:rPr>
      </w:pPr>
      <w:r w:rsidRPr="00AD2235">
        <w:rPr>
          <w:b/>
          <w:bCs/>
        </w:rPr>
        <w:t>Pathobiont &amp; Bacteriophage Screening</w:t>
      </w:r>
    </w:p>
    <w:p w14:paraId="321B79AF" w14:textId="77777777" w:rsidR="00AD2235" w:rsidRPr="00AD2235" w:rsidRDefault="00AD2235" w:rsidP="00AD2235">
      <w:pPr>
        <w:numPr>
          <w:ilvl w:val="0"/>
          <w:numId w:val="3"/>
        </w:numPr>
      </w:pPr>
      <w:r w:rsidRPr="00AD2235">
        <w:rPr>
          <w:b/>
          <w:bCs/>
        </w:rPr>
        <w:t>Tool(s):</w:t>
      </w:r>
      <w:r w:rsidRPr="00AD2235">
        <w:t xml:space="preserve"> </w:t>
      </w:r>
      <w:proofErr w:type="spellStart"/>
      <w:r w:rsidRPr="00AD2235">
        <w:t>MetaPhinder</w:t>
      </w:r>
      <w:proofErr w:type="spellEnd"/>
      <w:r w:rsidRPr="00AD2235">
        <w:t xml:space="preserve"> engine for automated bacteriophage signature screening; MEGAN 6 pipeline for interactive viral taxonomical placement. </w:t>
      </w:r>
    </w:p>
    <w:p w14:paraId="63180770" w14:textId="77777777" w:rsidR="00AD2235" w:rsidRPr="00AD2235" w:rsidRDefault="00AD2235" w:rsidP="00AD2235">
      <w:pPr>
        <w:numPr>
          <w:ilvl w:val="0"/>
          <w:numId w:val="3"/>
        </w:numPr>
      </w:pPr>
      <w:r w:rsidRPr="00AD2235">
        <w:rPr>
          <w:b/>
          <w:bCs/>
        </w:rPr>
        <w:t>Database(s):</w:t>
      </w:r>
      <w:r w:rsidRPr="00AD2235">
        <w:t xml:space="preserve"> NCBI reference databases; WHO priority pathogen reference lists tracking antibiotic resistance. </w:t>
      </w:r>
    </w:p>
    <w:p w14:paraId="2BE23DDD" w14:textId="77777777" w:rsidR="00AD2235" w:rsidRPr="00AD2235" w:rsidRDefault="00AD2235" w:rsidP="00AD2235">
      <w:pPr>
        <w:numPr>
          <w:ilvl w:val="0"/>
          <w:numId w:val="3"/>
        </w:numPr>
      </w:pPr>
      <w:r w:rsidRPr="00AD2235">
        <w:rPr>
          <w:b/>
          <w:bCs/>
        </w:rPr>
        <w:lastRenderedPageBreak/>
        <w:t>Normalization:</w:t>
      </w:r>
      <w:r w:rsidRPr="00AD2235">
        <w:t xml:space="preserve"> Scaffold fragment sequence matches processed using core biome features inside MEGAN. </w:t>
      </w:r>
    </w:p>
    <w:p w14:paraId="216C0986" w14:textId="3E0B535C" w:rsidR="00AD2235" w:rsidRPr="00AD2235" w:rsidRDefault="00AD2235" w:rsidP="00AD2235">
      <w:pPr>
        <w:numPr>
          <w:ilvl w:val="0"/>
          <w:numId w:val="3"/>
        </w:numPr>
      </w:pPr>
      <w:r w:rsidRPr="00AD2235">
        <w:rPr>
          <w:b/>
          <w:bCs/>
        </w:rPr>
        <w:t>Goal of the analysis:</w:t>
      </w:r>
      <w:r w:rsidRPr="00AD2235">
        <w:t xml:space="preserve"> Trace the seasonal emergence of food</w:t>
      </w:r>
      <w:r>
        <w:t xml:space="preserve"> </w:t>
      </w:r>
      <w:r w:rsidRPr="00AD2235">
        <w:t xml:space="preserve">borne pathobionts and evaluate the regulatory role of endemic bacteriophage cohorts. </w:t>
      </w:r>
    </w:p>
    <w:p w14:paraId="48B62309" w14:textId="69381177" w:rsidR="00AD2235" w:rsidRPr="00AD2235" w:rsidRDefault="00AD2235" w:rsidP="00AD2235">
      <w:pPr>
        <w:numPr>
          <w:ilvl w:val="0"/>
          <w:numId w:val="3"/>
        </w:numPr>
      </w:pPr>
      <w:r w:rsidRPr="00AD2235">
        <w:rPr>
          <w:b/>
          <w:bCs/>
        </w:rPr>
        <w:t>Key metrics or statistical approaches:</w:t>
      </w:r>
      <w:r w:rsidRPr="00AD2235">
        <w:t xml:space="preserve"> Structural tracking showing the emergence of critical antibiotic-resistant pathogens varying heavily with season, including </w:t>
      </w:r>
      <w:r w:rsidRPr="00AD2235">
        <w:rPr>
          <w:i/>
          <w:iCs/>
        </w:rPr>
        <w:t>Bacillus cereus</w:t>
      </w:r>
      <w:r w:rsidRPr="00AD2235">
        <w:t xml:space="preserve"> (peaking drastically at 13.23% relative abundance during the cold winter DJ phase), </w:t>
      </w:r>
      <w:r w:rsidRPr="00AD2235">
        <w:rPr>
          <w:i/>
          <w:iCs/>
        </w:rPr>
        <w:t>Staphylococcus aureus</w:t>
      </w:r>
      <w:r w:rsidRPr="00AD2235">
        <w:t xml:space="preserve">, </w:t>
      </w:r>
      <w:r w:rsidRPr="00AD2235">
        <w:rPr>
          <w:i/>
          <w:iCs/>
        </w:rPr>
        <w:t>Proteus mirabilis</w:t>
      </w:r>
      <w:r w:rsidRPr="00AD2235">
        <w:t xml:space="preserve">, and </w:t>
      </w:r>
      <w:r w:rsidRPr="00AD2235">
        <w:rPr>
          <w:i/>
          <w:iCs/>
        </w:rPr>
        <w:t xml:space="preserve">Proteus </w:t>
      </w:r>
      <w:proofErr w:type="spellStart"/>
      <w:r w:rsidRPr="00AD2235">
        <w:rPr>
          <w:i/>
          <w:iCs/>
        </w:rPr>
        <w:t>penneri</w:t>
      </w:r>
      <w:proofErr w:type="spellEnd"/>
      <w:r w:rsidRPr="00AD2235">
        <w:t>. Isolates 54,002 phage</w:t>
      </w:r>
      <w:r>
        <w:t xml:space="preserve"> </w:t>
      </w:r>
      <w:r w:rsidRPr="00AD2235">
        <w:t xml:space="preserve">positive scaffolds containing 174 taxa dominated by </w:t>
      </w:r>
      <w:proofErr w:type="spellStart"/>
      <w:r w:rsidRPr="00AD2235">
        <w:rPr>
          <w:i/>
          <w:iCs/>
        </w:rPr>
        <w:t>Caudovirales</w:t>
      </w:r>
      <w:proofErr w:type="spellEnd"/>
      <w:r w:rsidRPr="00AD2235">
        <w:t xml:space="preserve"> across the families </w:t>
      </w:r>
      <w:proofErr w:type="spellStart"/>
      <w:r w:rsidRPr="00AD2235">
        <w:rPr>
          <w:i/>
          <w:iCs/>
        </w:rPr>
        <w:t>Siphoviridae</w:t>
      </w:r>
      <w:proofErr w:type="spellEnd"/>
      <w:r w:rsidRPr="00AD2235">
        <w:t xml:space="preserve">, </w:t>
      </w:r>
      <w:proofErr w:type="spellStart"/>
      <w:r w:rsidRPr="00AD2235">
        <w:rPr>
          <w:i/>
          <w:iCs/>
        </w:rPr>
        <w:t>Myoviridae</w:t>
      </w:r>
      <w:proofErr w:type="spellEnd"/>
      <w:r w:rsidRPr="00AD2235">
        <w:t xml:space="preserve">, and </w:t>
      </w:r>
      <w:proofErr w:type="spellStart"/>
      <w:r w:rsidRPr="00AD2235">
        <w:rPr>
          <w:i/>
          <w:iCs/>
        </w:rPr>
        <w:t>Podoviridae</w:t>
      </w:r>
      <w:proofErr w:type="spellEnd"/>
      <w:r w:rsidRPr="00AD2235">
        <w:t xml:space="preserve">, targeting core </w:t>
      </w:r>
      <w:r w:rsidRPr="00AD2235">
        <w:rPr>
          <w:i/>
          <w:iCs/>
        </w:rPr>
        <w:t>Bacillus</w:t>
      </w:r>
      <w:r w:rsidRPr="00AD2235">
        <w:t xml:space="preserve"> hosts to regulate community diversity. </w:t>
      </w:r>
    </w:p>
    <w:p w14:paraId="0E6AE371" w14:textId="77777777" w:rsidR="00AD2235" w:rsidRPr="00AD2235" w:rsidRDefault="00AD2235" w:rsidP="00AD2235">
      <w:pPr>
        <w:rPr>
          <w:b/>
          <w:bCs/>
        </w:rPr>
      </w:pPr>
      <w:proofErr w:type="spellStart"/>
      <w:r w:rsidRPr="00AD2235">
        <w:rPr>
          <w:b/>
          <w:bCs/>
        </w:rPr>
        <w:t>CAZymes</w:t>
      </w:r>
      <w:proofErr w:type="spellEnd"/>
      <w:r w:rsidRPr="00AD2235">
        <w:rPr>
          <w:b/>
          <w:bCs/>
        </w:rPr>
        <w:t xml:space="preserve"> &amp; Fermentation Analysis</w:t>
      </w:r>
    </w:p>
    <w:p w14:paraId="35A4315B" w14:textId="77777777" w:rsidR="00AD2235" w:rsidRPr="00AD2235" w:rsidRDefault="00AD2235" w:rsidP="00AD2235">
      <w:pPr>
        <w:numPr>
          <w:ilvl w:val="0"/>
          <w:numId w:val="4"/>
        </w:numPr>
      </w:pPr>
      <w:r w:rsidRPr="00AD2235">
        <w:rPr>
          <w:b/>
          <w:bCs/>
        </w:rPr>
        <w:t>Tool(s):</w:t>
      </w:r>
      <w:r w:rsidRPr="00AD2235">
        <w:t xml:space="preserve"> </w:t>
      </w:r>
      <w:proofErr w:type="spellStart"/>
      <w:r w:rsidRPr="00AD2235">
        <w:t>BLASTx</w:t>
      </w:r>
      <w:proofErr w:type="spellEnd"/>
      <w:r w:rsidRPr="00AD2235">
        <w:t xml:space="preserve"> homological sequence search against the </w:t>
      </w:r>
      <w:proofErr w:type="spellStart"/>
      <w:r w:rsidRPr="00AD2235">
        <w:t>CAZy</w:t>
      </w:r>
      <w:proofErr w:type="spellEnd"/>
      <w:r w:rsidRPr="00AD2235">
        <w:t xml:space="preserve"> database. </w:t>
      </w:r>
    </w:p>
    <w:p w14:paraId="77063896" w14:textId="77777777" w:rsidR="00AD2235" w:rsidRPr="00AD2235" w:rsidRDefault="00AD2235" w:rsidP="00AD2235">
      <w:pPr>
        <w:numPr>
          <w:ilvl w:val="0"/>
          <w:numId w:val="4"/>
        </w:numPr>
      </w:pPr>
      <w:r w:rsidRPr="00AD2235">
        <w:rPr>
          <w:b/>
          <w:bCs/>
        </w:rPr>
        <w:t>Database(s):</w:t>
      </w:r>
      <w:r w:rsidRPr="00AD2235">
        <w:t xml:space="preserve"> Carbohydrate-Active Enzymes (</w:t>
      </w:r>
      <w:proofErr w:type="spellStart"/>
      <w:r w:rsidRPr="00AD2235">
        <w:t>CAZy</w:t>
      </w:r>
      <w:proofErr w:type="spellEnd"/>
      <w:r w:rsidRPr="00AD2235">
        <w:t xml:space="preserve">) database tracking six major structural categories. </w:t>
      </w:r>
    </w:p>
    <w:p w14:paraId="44B5CC1A" w14:textId="1B4A543E" w:rsidR="00AD2235" w:rsidRPr="00AD2235" w:rsidRDefault="00AD2235" w:rsidP="00AD2235">
      <w:pPr>
        <w:numPr>
          <w:ilvl w:val="0"/>
          <w:numId w:val="4"/>
        </w:numPr>
      </w:pPr>
      <w:r w:rsidRPr="00AD2235">
        <w:rPr>
          <w:b/>
          <w:bCs/>
        </w:rPr>
        <w:t>Normalization:</w:t>
      </w:r>
      <w:r w:rsidRPr="00AD2235">
        <w:t xml:space="preserve"> Gene classification requiring a baseline threshold criteria of </w:t>
      </w:r>
      <w:r>
        <w:t>&gt;</w:t>
      </w:r>
      <w:r w:rsidRPr="00AD2235">
        <w:t xml:space="preserve">25% sequence identity and </w:t>
      </w:r>
      <w:r>
        <w:t>&gt;</w:t>
      </w:r>
      <w:r w:rsidRPr="00AD2235">
        <w:t>50</w:t>
      </w:r>
      <w:r>
        <w:t>%</w:t>
      </w:r>
      <w:r w:rsidRPr="00AD2235">
        <w:t xml:space="preserve"> subject coverage ; stringent functional filtering restricted to </w:t>
      </w:r>
      <w:r>
        <w:t>&gt;</w:t>
      </w:r>
      <w:r w:rsidRPr="00AD2235">
        <w:t xml:space="preserve">50% identity thresholds. </w:t>
      </w:r>
    </w:p>
    <w:p w14:paraId="0D63D3CB" w14:textId="77777777" w:rsidR="00AD2235" w:rsidRPr="00AD2235" w:rsidRDefault="00AD2235" w:rsidP="00AD2235">
      <w:pPr>
        <w:numPr>
          <w:ilvl w:val="0"/>
          <w:numId w:val="4"/>
        </w:numPr>
      </w:pPr>
      <w:r w:rsidRPr="00AD2235">
        <w:rPr>
          <w:b/>
          <w:bCs/>
        </w:rPr>
        <w:t>Goal of the analysis:</w:t>
      </w:r>
      <w:r w:rsidRPr="00AD2235">
        <w:t xml:space="preserve"> Characterize the carbohydrate active gene repertoire mapping the degradation and processing of complex soybean lignocellulose, starch, and oligosaccharides. </w:t>
      </w:r>
    </w:p>
    <w:p w14:paraId="49C0DE20" w14:textId="77777777" w:rsidR="00AD2235" w:rsidRPr="00AD2235" w:rsidRDefault="00AD2235" w:rsidP="00AD2235">
      <w:pPr>
        <w:numPr>
          <w:ilvl w:val="0"/>
          <w:numId w:val="4"/>
        </w:numPr>
      </w:pPr>
      <w:r w:rsidRPr="00AD2235">
        <w:rPr>
          <w:b/>
          <w:bCs/>
        </w:rPr>
        <w:t>Key metrics or statistical approaches:</w:t>
      </w:r>
      <w:r w:rsidRPr="00AD2235">
        <w:t xml:space="preserve"> Extraction of 2,781 putative </w:t>
      </w:r>
      <w:proofErr w:type="spellStart"/>
      <w:r w:rsidRPr="00AD2235">
        <w:t>CAZyme</w:t>
      </w:r>
      <w:proofErr w:type="spellEnd"/>
      <w:r w:rsidRPr="00AD2235">
        <w:t xml:space="preserve"> genes primarily contributed by </w:t>
      </w:r>
      <w:r w:rsidRPr="00AD2235">
        <w:rPr>
          <w:i/>
          <w:iCs/>
        </w:rPr>
        <w:t>Firmicutes</w:t>
      </w:r>
      <w:r w:rsidRPr="00AD2235">
        <w:t xml:space="preserve"> (86.77–91.29%), led by Glycoside Hydrolases (GHs; 46.21–52.89%) and Glycosyltransferases (GTs). Stringent annotation </w:t>
      </w:r>
      <w:proofErr w:type="spellStart"/>
      <w:r w:rsidRPr="00AD2235">
        <w:t>catalogs</w:t>
      </w:r>
      <w:proofErr w:type="spellEnd"/>
      <w:r w:rsidRPr="00AD2235">
        <w:t xml:space="preserve"> abundant hemicellulose/pectin processors including </w:t>
      </w:r>
      <w:r w:rsidRPr="00AD2235">
        <w:rPr>
          <w:i/>
          <w:iCs/>
        </w:rPr>
        <w:t>beta-glucosidases</w:t>
      </w:r>
      <w:r w:rsidRPr="00AD2235">
        <w:t xml:space="preserve"> (families GH1, GH3) and flatulence-reducing </w:t>
      </w:r>
      <w:r w:rsidRPr="00AD2235">
        <w:rPr>
          <w:i/>
          <w:iCs/>
        </w:rPr>
        <w:t>alpha-galactosidases</w:t>
      </w:r>
      <w:r w:rsidRPr="00AD2235">
        <w:t xml:space="preserve"> (GH4, GH36) that clear raffinose-series oligosaccharides. </w:t>
      </w:r>
    </w:p>
    <w:p w14:paraId="07164121" w14:textId="77777777" w:rsidR="00AD2235" w:rsidRPr="00AD2235" w:rsidRDefault="00AD2235" w:rsidP="00AD2235">
      <w:pPr>
        <w:rPr>
          <w:b/>
          <w:bCs/>
        </w:rPr>
      </w:pPr>
      <w:r w:rsidRPr="00AD2235">
        <w:rPr>
          <w:b/>
          <w:bCs/>
        </w:rPr>
        <w:t>Bioactive Proteases &amp; GABA Biosynthesis</w:t>
      </w:r>
    </w:p>
    <w:p w14:paraId="7BCD37BF" w14:textId="77777777" w:rsidR="00AD2235" w:rsidRPr="00AD2235" w:rsidRDefault="00AD2235" w:rsidP="00AD2235">
      <w:pPr>
        <w:numPr>
          <w:ilvl w:val="0"/>
          <w:numId w:val="5"/>
        </w:numPr>
      </w:pPr>
      <w:r w:rsidRPr="00AD2235">
        <w:rPr>
          <w:b/>
          <w:bCs/>
        </w:rPr>
        <w:t>Tool(s):</w:t>
      </w:r>
      <w:r w:rsidRPr="00AD2235">
        <w:t xml:space="preserve"> MEROPS database gene mining for </w:t>
      </w:r>
      <w:proofErr w:type="gramStart"/>
      <w:r w:rsidRPr="00AD2235">
        <w:t>peptidases ;</w:t>
      </w:r>
      <w:proofErr w:type="gramEnd"/>
      <w:r w:rsidRPr="00AD2235">
        <w:t xml:space="preserve"> expression vector sub-cloning (pET28a) into </w:t>
      </w:r>
      <w:r w:rsidRPr="00AD2235">
        <w:rPr>
          <w:i/>
          <w:iCs/>
        </w:rPr>
        <w:t>E. coli</w:t>
      </w:r>
      <w:r w:rsidRPr="00AD2235">
        <w:t xml:space="preserve"> BL21 DE3 for novel enzyme validation; Thin Layer Chromatography (TLC) tracking. </w:t>
      </w:r>
    </w:p>
    <w:p w14:paraId="0AE09366" w14:textId="77777777" w:rsidR="00AD2235" w:rsidRPr="00AD2235" w:rsidRDefault="00AD2235" w:rsidP="00AD2235">
      <w:pPr>
        <w:numPr>
          <w:ilvl w:val="0"/>
          <w:numId w:val="5"/>
        </w:numPr>
      </w:pPr>
      <w:r w:rsidRPr="00AD2235">
        <w:rPr>
          <w:b/>
          <w:bCs/>
        </w:rPr>
        <w:t>Database(s):</w:t>
      </w:r>
      <w:r w:rsidRPr="00AD2235">
        <w:t xml:space="preserve"> MEROPS peptidase database; KEGG </w:t>
      </w:r>
      <w:proofErr w:type="spellStart"/>
      <w:r w:rsidRPr="00AD2235">
        <w:t>Orthology</w:t>
      </w:r>
      <w:proofErr w:type="spellEnd"/>
      <w:r w:rsidRPr="00AD2235">
        <w:t xml:space="preserve">. </w:t>
      </w:r>
    </w:p>
    <w:p w14:paraId="64837104" w14:textId="77777777" w:rsidR="00AD2235" w:rsidRPr="00AD2235" w:rsidRDefault="00AD2235" w:rsidP="00AD2235">
      <w:pPr>
        <w:numPr>
          <w:ilvl w:val="0"/>
          <w:numId w:val="5"/>
        </w:numPr>
      </w:pPr>
      <w:r w:rsidRPr="00AD2235">
        <w:rPr>
          <w:b/>
          <w:bCs/>
        </w:rPr>
        <w:t>Normalization:</w:t>
      </w:r>
      <w:r w:rsidRPr="00AD2235">
        <w:t xml:space="preserve"> ORF count alignment mapping over six target protease mechanism profiles. </w:t>
      </w:r>
    </w:p>
    <w:p w14:paraId="219392CD" w14:textId="77777777" w:rsidR="00AD2235" w:rsidRPr="00AD2235" w:rsidRDefault="00AD2235" w:rsidP="00AD2235">
      <w:pPr>
        <w:numPr>
          <w:ilvl w:val="0"/>
          <w:numId w:val="5"/>
        </w:numPr>
      </w:pPr>
      <w:r w:rsidRPr="00AD2235">
        <w:rPr>
          <w:b/>
          <w:bCs/>
        </w:rPr>
        <w:t>Goal of the analysis:</w:t>
      </w:r>
      <w:r w:rsidRPr="00AD2235">
        <w:t xml:space="preserve"> Screen for proteolytic cascades yielding functional bioactive peptides and validate novel biocatalysts. </w:t>
      </w:r>
    </w:p>
    <w:p w14:paraId="35738EFA" w14:textId="77777777" w:rsidR="00AD2235" w:rsidRPr="00AD2235" w:rsidRDefault="00AD2235" w:rsidP="00AD2235">
      <w:pPr>
        <w:numPr>
          <w:ilvl w:val="0"/>
          <w:numId w:val="5"/>
        </w:numPr>
      </w:pPr>
      <w:r w:rsidRPr="00AD2235">
        <w:rPr>
          <w:b/>
          <w:bCs/>
        </w:rPr>
        <w:t>Key metrics or statistical approaches:</w:t>
      </w:r>
      <w:r w:rsidRPr="00AD2235">
        <w:t xml:space="preserve"> Identification of 73 proteases dominated by </w:t>
      </w:r>
      <w:proofErr w:type="spellStart"/>
      <w:r w:rsidRPr="00AD2235">
        <w:t>metallo</w:t>
      </w:r>
      <w:proofErr w:type="spellEnd"/>
      <w:r w:rsidRPr="00AD2235">
        <w:t>, serine, and cysteine proteases (peaking during the warm SO phase for fibrinolytic enzyme synthesis). Isolates 12 glutamate decarboxylase (GAD) genes transforming glutamate to neuro-regulating gamma-aminobutyric acid (GABA</w:t>
      </w:r>
      <w:proofErr w:type="gramStart"/>
      <w:r w:rsidRPr="00AD2235">
        <w:t>) ;</w:t>
      </w:r>
      <w:proofErr w:type="gramEnd"/>
      <w:r w:rsidRPr="00AD2235">
        <w:t xml:space="preserve"> experimental TLC tracking validates the catalytic synthesis function of a novel GAD gene structure sharing 74–78% identity with </w:t>
      </w:r>
      <w:proofErr w:type="spellStart"/>
      <w:r w:rsidRPr="00AD2235">
        <w:rPr>
          <w:i/>
          <w:iCs/>
        </w:rPr>
        <w:t>Carnobacterium</w:t>
      </w:r>
      <w:proofErr w:type="spellEnd"/>
      <w:r w:rsidRPr="00AD2235">
        <w:rPr>
          <w:i/>
          <w:iCs/>
        </w:rPr>
        <w:t xml:space="preserve"> </w:t>
      </w:r>
      <w:proofErr w:type="spellStart"/>
      <w:r w:rsidRPr="00AD2235">
        <w:rPr>
          <w:i/>
          <w:iCs/>
        </w:rPr>
        <w:t>maltaromaticum</w:t>
      </w:r>
      <w:proofErr w:type="spellEnd"/>
      <w:r w:rsidRPr="00AD2235">
        <w:t xml:space="preserve"> templates. </w:t>
      </w:r>
    </w:p>
    <w:p w14:paraId="13D1C7D9" w14:textId="77777777" w:rsidR="000C3267" w:rsidRDefault="000C3267"/>
    <w:sectPr w:rsidR="000C32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F6291"/>
    <w:multiLevelType w:val="multilevel"/>
    <w:tmpl w:val="26D0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8158BB"/>
    <w:multiLevelType w:val="multilevel"/>
    <w:tmpl w:val="6BF4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F13FDF"/>
    <w:multiLevelType w:val="multilevel"/>
    <w:tmpl w:val="1246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0A2658"/>
    <w:multiLevelType w:val="multilevel"/>
    <w:tmpl w:val="8016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7B0967"/>
    <w:multiLevelType w:val="multilevel"/>
    <w:tmpl w:val="B86C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436511">
    <w:abstractNumId w:val="0"/>
  </w:num>
  <w:num w:numId="2" w16cid:durableId="1787698693">
    <w:abstractNumId w:val="1"/>
  </w:num>
  <w:num w:numId="3" w16cid:durableId="282811766">
    <w:abstractNumId w:val="3"/>
  </w:num>
  <w:num w:numId="4" w16cid:durableId="1126967267">
    <w:abstractNumId w:val="2"/>
  </w:num>
  <w:num w:numId="5" w16cid:durableId="16312829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235"/>
    <w:rsid w:val="000C3267"/>
    <w:rsid w:val="00227B78"/>
    <w:rsid w:val="007A7287"/>
    <w:rsid w:val="00850FB5"/>
    <w:rsid w:val="00AD2235"/>
    <w:rsid w:val="00B50D4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78E82"/>
  <w15:chartTrackingRefBased/>
  <w15:docId w15:val="{0D58477E-6CCB-4111-B710-E02F572E5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2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22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22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22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22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22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2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2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2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2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22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22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22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22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22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2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2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235"/>
    <w:rPr>
      <w:rFonts w:eastAsiaTheme="majorEastAsia" w:cstheme="majorBidi"/>
      <w:color w:val="272727" w:themeColor="text1" w:themeTint="D8"/>
    </w:rPr>
  </w:style>
  <w:style w:type="paragraph" w:styleId="Title">
    <w:name w:val="Title"/>
    <w:basedOn w:val="Normal"/>
    <w:next w:val="Normal"/>
    <w:link w:val="TitleChar"/>
    <w:uiPriority w:val="10"/>
    <w:qFormat/>
    <w:rsid w:val="00AD22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2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2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2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235"/>
    <w:pPr>
      <w:spacing w:before="160"/>
      <w:jc w:val="center"/>
    </w:pPr>
    <w:rPr>
      <w:i/>
      <w:iCs/>
      <w:color w:val="404040" w:themeColor="text1" w:themeTint="BF"/>
    </w:rPr>
  </w:style>
  <w:style w:type="character" w:customStyle="1" w:styleId="QuoteChar">
    <w:name w:val="Quote Char"/>
    <w:basedOn w:val="DefaultParagraphFont"/>
    <w:link w:val="Quote"/>
    <w:uiPriority w:val="29"/>
    <w:rsid w:val="00AD2235"/>
    <w:rPr>
      <w:i/>
      <w:iCs/>
      <w:color w:val="404040" w:themeColor="text1" w:themeTint="BF"/>
    </w:rPr>
  </w:style>
  <w:style w:type="paragraph" w:styleId="ListParagraph">
    <w:name w:val="List Paragraph"/>
    <w:basedOn w:val="Normal"/>
    <w:uiPriority w:val="34"/>
    <w:qFormat/>
    <w:rsid w:val="00AD2235"/>
    <w:pPr>
      <w:ind w:left="720"/>
      <w:contextualSpacing/>
    </w:pPr>
  </w:style>
  <w:style w:type="character" w:styleId="IntenseEmphasis">
    <w:name w:val="Intense Emphasis"/>
    <w:basedOn w:val="DefaultParagraphFont"/>
    <w:uiPriority w:val="21"/>
    <w:qFormat/>
    <w:rsid w:val="00AD2235"/>
    <w:rPr>
      <w:i/>
      <w:iCs/>
      <w:color w:val="2F5496" w:themeColor="accent1" w:themeShade="BF"/>
    </w:rPr>
  </w:style>
  <w:style w:type="paragraph" w:styleId="IntenseQuote">
    <w:name w:val="Intense Quote"/>
    <w:basedOn w:val="Normal"/>
    <w:next w:val="Normal"/>
    <w:link w:val="IntenseQuoteChar"/>
    <w:uiPriority w:val="30"/>
    <w:qFormat/>
    <w:rsid w:val="00AD22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2235"/>
    <w:rPr>
      <w:i/>
      <w:iCs/>
      <w:color w:val="2F5496" w:themeColor="accent1" w:themeShade="BF"/>
    </w:rPr>
  </w:style>
  <w:style w:type="character" w:styleId="IntenseReference">
    <w:name w:val="Intense Reference"/>
    <w:basedOn w:val="DefaultParagraphFont"/>
    <w:uiPriority w:val="32"/>
    <w:qFormat/>
    <w:rsid w:val="00AD22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828</Words>
  <Characters>4720</Characters>
  <Application>Microsoft Office Word</Application>
  <DocSecurity>0</DocSecurity>
  <Lines>39</Lines>
  <Paragraphs>11</Paragraphs>
  <ScaleCrop>false</ScaleCrop>
  <Company/>
  <LinksUpToDate>false</LinksUpToDate>
  <CharactersWithSpaces>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Melvin Joseph</dc:creator>
  <cp:keywords/>
  <dc:description/>
  <cp:lastModifiedBy>Melvin Joseph</cp:lastModifiedBy>
  <cp:revision>1</cp:revision>
  <dcterms:created xsi:type="dcterms:W3CDTF">2026-06-25T04:59:00Z</dcterms:created>
  <dcterms:modified xsi:type="dcterms:W3CDTF">2026-06-25T05:05:00Z</dcterms:modified>
</cp:coreProperties>
</file>