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00EF9" w14:textId="77777777" w:rsidR="00196D1F" w:rsidRPr="00196D1F" w:rsidRDefault="00196D1F" w:rsidP="00196D1F">
      <w:pPr>
        <w:rPr>
          <w:b/>
          <w:bCs/>
          <w:sz w:val="36"/>
          <w:szCs w:val="36"/>
        </w:rPr>
      </w:pPr>
      <w:r w:rsidRPr="00196D1F">
        <w:rPr>
          <w:b/>
          <w:bCs/>
          <w:sz w:val="36"/>
          <w:szCs w:val="36"/>
        </w:rPr>
        <w:t>Analysis Plan - SRP199213</w:t>
      </w:r>
    </w:p>
    <w:p w14:paraId="2EAB13F1" w14:textId="77777777" w:rsidR="00196D1F" w:rsidRPr="00196D1F" w:rsidRDefault="00196D1F" w:rsidP="00196D1F">
      <w:r w:rsidRPr="00196D1F">
        <w:rPr>
          <w:b/>
          <w:bCs/>
        </w:rPr>
        <w:t>Study Accession:</w:t>
      </w:r>
      <w:r w:rsidRPr="00196D1F">
        <w:t xml:space="preserve"> SRP199213 (SRA </w:t>
      </w:r>
      <w:proofErr w:type="spellStart"/>
      <w:r w:rsidRPr="00196D1F">
        <w:t>BioProject</w:t>
      </w:r>
      <w:proofErr w:type="spellEnd"/>
      <w:r w:rsidRPr="00196D1F">
        <w:t xml:space="preserve"> PRJNA545361)</w:t>
      </w:r>
    </w:p>
    <w:p w14:paraId="7428C1D7" w14:textId="77777777" w:rsidR="00196D1F" w:rsidRPr="00196D1F" w:rsidRDefault="00196D1F" w:rsidP="00196D1F">
      <w:r w:rsidRPr="00196D1F">
        <w:rPr>
          <w:b/>
          <w:bCs/>
        </w:rPr>
        <w:t>Study Type:</w:t>
      </w:r>
      <w:r w:rsidRPr="00196D1F">
        <w:t xml:space="preserve"> Comparative human gut metagenomics, cohort biosystematics, and metabolic pathway mapping</w:t>
      </w:r>
    </w:p>
    <w:p w14:paraId="5AA150C6" w14:textId="77777777" w:rsidR="00196D1F" w:rsidRPr="00196D1F" w:rsidRDefault="00196D1F" w:rsidP="00196D1F">
      <w:r w:rsidRPr="00196D1F">
        <w:rPr>
          <w:b/>
          <w:bCs/>
        </w:rPr>
        <w:t>Sample Type:</w:t>
      </w:r>
      <w:r w:rsidRPr="00196D1F">
        <w:t xml:space="preserve"> Human </w:t>
      </w:r>
      <w:proofErr w:type="spellStart"/>
      <w:r w:rsidRPr="00196D1F">
        <w:t>fecal</w:t>
      </w:r>
      <w:proofErr w:type="spellEnd"/>
      <w:r w:rsidRPr="00196D1F">
        <w:t>/stool samples collected from healthy individuals across diverse geographic, ethnic, and dietary cohorts</w:t>
      </w:r>
    </w:p>
    <w:p w14:paraId="79A4A14E" w14:textId="77777777" w:rsidR="00196D1F" w:rsidRPr="00196D1F" w:rsidRDefault="00196D1F" w:rsidP="00196D1F">
      <w:r w:rsidRPr="00196D1F">
        <w:rPr>
          <w:b/>
          <w:bCs/>
        </w:rPr>
        <w:t>Associated Publications / DOIs:</w:t>
      </w:r>
    </w:p>
    <w:p w14:paraId="3BCD2453" w14:textId="77777777" w:rsidR="00196D1F" w:rsidRPr="00196D1F" w:rsidRDefault="00196D1F" w:rsidP="00196D1F">
      <w:pPr>
        <w:numPr>
          <w:ilvl w:val="0"/>
          <w:numId w:val="1"/>
        </w:numPr>
      </w:pPr>
      <w:r w:rsidRPr="00196D1F">
        <w:t>Kaur et al., 2020 (</w:t>
      </w:r>
      <w:r w:rsidRPr="00196D1F">
        <w:rPr>
          <w:i/>
          <w:iCs/>
        </w:rPr>
        <w:t>PLOS ONE</w:t>
      </w:r>
      <w:r w:rsidRPr="00196D1F">
        <w:t xml:space="preserve">): </w:t>
      </w:r>
      <w:hyperlink r:id="rId5" w:tgtFrame="_blank" w:history="1">
        <w:r w:rsidRPr="00196D1F">
          <w:rPr>
            <w:rStyle w:val="Hyperlink"/>
          </w:rPr>
          <w:t>https://doi.org/10.1371/journal.pone.0231197</w:t>
        </w:r>
      </w:hyperlink>
    </w:p>
    <w:p w14:paraId="47F748B6" w14:textId="77777777" w:rsidR="00196D1F" w:rsidRPr="00196D1F" w:rsidRDefault="00196D1F" w:rsidP="00196D1F">
      <w:pPr>
        <w:numPr>
          <w:ilvl w:val="0"/>
          <w:numId w:val="1"/>
        </w:numPr>
      </w:pPr>
      <w:r w:rsidRPr="00196D1F">
        <w:t>Chandel et al., 2024 (</w:t>
      </w:r>
      <w:r w:rsidRPr="00196D1F">
        <w:rPr>
          <w:i/>
          <w:iCs/>
        </w:rPr>
        <w:t>Br J Nutr</w:t>
      </w:r>
      <w:r w:rsidRPr="00196D1F">
        <w:t xml:space="preserve">): </w:t>
      </w:r>
      <w:hyperlink r:id="rId6" w:tgtFrame="_blank" w:history="1">
        <w:r w:rsidRPr="00196D1F">
          <w:rPr>
            <w:rStyle w:val="Hyperlink"/>
          </w:rPr>
          <w:t>https://doi.org/10.1017/S0007114523002179</w:t>
        </w:r>
      </w:hyperlink>
    </w:p>
    <w:p w14:paraId="74AD4FAC" w14:textId="77777777" w:rsidR="00196D1F" w:rsidRPr="00196D1F" w:rsidRDefault="00196D1F" w:rsidP="00196D1F">
      <w:pPr>
        <w:numPr>
          <w:ilvl w:val="0"/>
          <w:numId w:val="1"/>
        </w:numPr>
      </w:pPr>
      <w:r w:rsidRPr="00196D1F">
        <w:t>Zhu et al., 2023 (</w:t>
      </w:r>
      <w:r w:rsidRPr="00196D1F">
        <w:rPr>
          <w:i/>
          <w:iCs/>
        </w:rPr>
        <w:t>Microbiome</w:t>
      </w:r>
      <w:r w:rsidRPr="00196D1F">
        <w:t xml:space="preserve">): </w:t>
      </w:r>
      <w:hyperlink r:id="rId7" w:tgtFrame="_blank" w:history="1">
        <w:r w:rsidRPr="00196D1F">
          <w:rPr>
            <w:rStyle w:val="Hyperlink"/>
          </w:rPr>
          <w:t>https://doi.org/10.1186/s40168-023-01614-x</w:t>
        </w:r>
      </w:hyperlink>
      <w:r w:rsidRPr="00196D1F">
        <w:t xml:space="preserve"> </w:t>
      </w:r>
      <w:r w:rsidRPr="00196D1F">
        <w:rPr>
          <w:i/>
          <w:iCs/>
        </w:rPr>
        <w:t xml:space="preserve">(Associated methodological </w:t>
      </w:r>
      <w:proofErr w:type="spellStart"/>
      <w:r w:rsidRPr="00196D1F">
        <w:rPr>
          <w:i/>
          <w:iCs/>
        </w:rPr>
        <w:t>modeling</w:t>
      </w:r>
      <w:proofErr w:type="spellEnd"/>
      <w:r w:rsidRPr="00196D1F">
        <w:rPr>
          <w:i/>
          <w:iCs/>
        </w:rPr>
        <w:t xml:space="preserve"> framework)</w:t>
      </w:r>
    </w:p>
    <w:p w14:paraId="37D6665B" w14:textId="74C29ADE" w:rsidR="00196D1F" w:rsidRPr="00196D1F" w:rsidRDefault="00196D1F" w:rsidP="00196D1F">
      <w:r w:rsidRPr="00196D1F">
        <w:rPr>
          <w:b/>
          <w:bCs/>
        </w:rPr>
        <w:t>Study Design:</w:t>
      </w:r>
      <w:r w:rsidRPr="00196D1F">
        <w:t xml:space="preserve"> Comprehensive retrospective and descriptive reconstruction of the unique structural and functional architecture of the Indian distal gut microbiota. High</w:t>
      </w:r>
      <w:r>
        <w:t xml:space="preserve"> </w:t>
      </w:r>
      <w:r w:rsidRPr="00196D1F">
        <w:t>throughput shotgun metagenomic sequencing reads derived from multiple distinct sub</w:t>
      </w:r>
      <w:r>
        <w:t xml:space="preserve"> </w:t>
      </w:r>
      <w:r w:rsidRPr="00196D1F">
        <w:t>populations</w:t>
      </w:r>
      <w:r>
        <w:t xml:space="preserve"> </w:t>
      </w:r>
      <w:r w:rsidRPr="00196D1F">
        <w:t xml:space="preserve">stratified broadly across urbanized sectors and distinct tribal backgrounds (e.g., traditional communities from regions like Leh, Ladakh, </w:t>
      </w:r>
      <w:proofErr w:type="spellStart"/>
      <w:r w:rsidRPr="00196D1F">
        <w:t>Khonoma</w:t>
      </w:r>
      <w:proofErr w:type="spellEnd"/>
      <w:r w:rsidRPr="00196D1F">
        <w:t>, and Madhya Pradesh)</w:t>
      </w:r>
      <w:r>
        <w:t xml:space="preserve"> </w:t>
      </w:r>
      <w:r w:rsidRPr="00196D1F">
        <w:t>were processed alongside international datasets. Downstream analysis evaluates how distinct dietary practices (high</w:t>
      </w:r>
      <w:r>
        <w:t xml:space="preserve"> </w:t>
      </w:r>
      <w:proofErr w:type="spellStart"/>
      <w:r w:rsidRPr="00196D1F">
        <w:t>fiber</w:t>
      </w:r>
      <w:proofErr w:type="spellEnd"/>
      <w:r w:rsidRPr="00196D1F">
        <w:t>, plant-rich traditional regimens vs. transitional omnivorous urban configurations) influence compositional profiles, taxonomic boundaries, and community-wide metabolic synthesis potentials.</w:t>
      </w:r>
    </w:p>
    <w:p w14:paraId="3721880D" w14:textId="77777777" w:rsidR="00196D1F" w:rsidRPr="00196D1F" w:rsidRDefault="00196D1F" w:rsidP="00196D1F">
      <w:pPr>
        <w:rPr>
          <w:b/>
          <w:bCs/>
        </w:rPr>
      </w:pPr>
      <w:r w:rsidRPr="00196D1F">
        <w:rPr>
          <w:b/>
          <w:bCs/>
        </w:rPr>
        <w:t>Taxonomic / Metagenomic Profiling</w:t>
      </w:r>
    </w:p>
    <w:p w14:paraId="1C6D3025" w14:textId="77777777" w:rsidR="00196D1F" w:rsidRPr="00196D1F" w:rsidRDefault="00196D1F" w:rsidP="00196D1F">
      <w:pPr>
        <w:numPr>
          <w:ilvl w:val="0"/>
          <w:numId w:val="2"/>
        </w:numPr>
      </w:pPr>
      <w:r w:rsidRPr="00196D1F">
        <w:rPr>
          <w:b/>
          <w:bCs/>
        </w:rPr>
        <w:t>Tool(s):</w:t>
      </w:r>
      <w:r w:rsidRPr="00196D1F">
        <w:t xml:space="preserve"> </w:t>
      </w:r>
      <w:proofErr w:type="spellStart"/>
      <w:r w:rsidRPr="00196D1F">
        <w:t>Trimmomatic</w:t>
      </w:r>
      <w:proofErr w:type="spellEnd"/>
      <w:r w:rsidRPr="00196D1F">
        <w:t xml:space="preserve">, </w:t>
      </w:r>
      <w:proofErr w:type="spellStart"/>
      <w:r w:rsidRPr="00196D1F">
        <w:t>fastp</w:t>
      </w:r>
      <w:proofErr w:type="spellEnd"/>
      <w:r w:rsidRPr="00196D1F">
        <w:t xml:space="preserve">, or </w:t>
      </w:r>
      <w:proofErr w:type="spellStart"/>
      <w:r w:rsidRPr="00196D1F">
        <w:t>Prinseq</w:t>
      </w:r>
      <w:proofErr w:type="spellEnd"/>
      <w:r w:rsidRPr="00196D1F">
        <w:t xml:space="preserve"> for raw read quality cleaning and adapter elimination; Bowtie2 or </w:t>
      </w:r>
      <w:proofErr w:type="spellStart"/>
      <w:r w:rsidRPr="00196D1F">
        <w:t>BMTagger</w:t>
      </w:r>
      <w:proofErr w:type="spellEnd"/>
      <w:r w:rsidRPr="00196D1F">
        <w:t xml:space="preserve"> for screening and removing host human genomic sequences; </w:t>
      </w:r>
      <w:proofErr w:type="spellStart"/>
      <w:r w:rsidRPr="00196D1F">
        <w:t>MetaPhlAn</w:t>
      </w:r>
      <w:proofErr w:type="spellEnd"/>
      <w:r w:rsidRPr="00196D1F">
        <w:t xml:space="preserve"> or Kraken2 engines for direct taxonomic identification of read fragments.</w:t>
      </w:r>
    </w:p>
    <w:p w14:paraId="23DCB19E" w14:textId="77777777" w:rsidR="00196D1F" w:rsidRPr="00196D1F" w:rsidRDefault="00196D1F" w:rsidP="00196D1F">
      <w:pPr>
        <w:numPr>
          <w:ilvl w:val="0"/>
          <w:numId w:val="2"/>
        </w:numPr>
      </w:pPr>
      <w:r w:rsidRPr="00196D1F">
        <w:rPr>
          <w:b/>
          <w:bCs/>
        </w:rPr>
        <w:t>Database(s):</w:t>
      </w:r>
      <w:r w:rsidRPr="00196D1F">
        <w:t xml:space="preserve"> NCBI </w:t>
      </w:r>
      <w:proofErr w:type="spellStart"/>
      <w:r w:rsidRPr="00196D1F">
        <w:t>RefSeq</w:t>
      </w:r>
      <w:proofErr w:type="spellEnd"/>
      <w:r w:rsidRPr="00196D1F">
        <w:t xml:space="preserve"> human database (for background host decontamination); </w:t>
      </w:r>
      <w:proofErr w:type="spellStart"/>
      <w:r w:rsidRPr="00196D1F">
        <w:t>MetaPhlAn</w:t>
      </w:r>
      <w:proofErr w:type="spellEnd"/>
      <w:r w:rsidRPr="00196D1F">
        <w:t xml:space="preserve"> reference marker library; GTDB reference taxonomy framework.</w:t>
      </w:r>
    </w:p>
    <w:p w14:paraId="6496BA63" w14:textId="77777777" w:rsidR="00196D1F" w:rsidRPr="00196D1F" w:rsidRDefault="00196D1F" w:rsidP="00196D1F">
      <w:pPr>
        <w:numPr>
          <w:ilvl w:val="0"/>
          <w:numId w:val="2"/>
        </w:numPr>
      </w:pPr>
      <w:r w:rsidRPr="00196D1F">
        <w:rPr>
          <w:b/>
          <w:bCs/>
        </w:rPr>
        <w:t>Normalization:</w:t>
      </w:r>
      <w:r w:rsidRPr="00196D1F">
        <w:t xml:space="preserve"> Conversion of raw sequence counts into relative abundance percentage matrices; length-normalized depth values across core species markers.</w:t>
      </w:r>
    </w:p>
    <w:p w14:paraId="05794674" w14:textId="77777777" w:rsidR="00196D1F" w:rsidRPr="00196D1F" w:rsidRDefault="00196D1F" w:rsidP="00196D1F">
      <w:pPr>
        <w:numPr>
          <w:ilvl w:val="0"/>
          <w:numId w:val="2"/>
        </w:numPr>
      </w:pPr>
      <w:r w:rsidRPr="00196D1F">
        <w:rPr>
          <w:b/>
          <w:bCs/>
        </w:rPr>
        <w:t>Goal of the analysis:</w:t>
      </w:r>
      <w:r w:rsidRPr="00196D1F">
        <w:t xml:space="preserve"> Profile the underlying taxonomic landscape of the target cohorts, quantifying the exact distribution of major core phyla (Bacteroidetes, Firmicutes, Actinobacteria, Proteobacteria) and identifying baseline species-level configurations.</w:t>
      </w:r>
    </w:p>
    <w:p w14:paraId="1890857E" w14:textId="33A32170" w:rsidR="00196D1F" w:rsidRPr="00196D1F" w:rsidRDefault="00196D1F" w:rsidP="00196D1F">
      <w:pPr>
        <w:numPr>
          <w:ilvl w:val="0"/>
          <w:numId w:val="2"/>
        </w:numPr>
      </w:pPr>
      <w:r w:rsidRPr="00196D1F">
        <w:rPr>
          <w:b/>
          <w:bCs/>
        </w:rPr>
        <w:t>Key metrics or statistical approaches:</w:t>
      </w:r>
      <w:r w:rsidRPr="00196D1F">
        <w:t xml:space="preserve"> Alpha diversity tracking via Shannon, Simpson, and Observed species indices; non-parametric Wilcoxon rank</w:t>
      </w:r>
      <w:r>
        <w:t xml:space="preserve"> </w:t>
      </w:r>
      <w:r w:rsidRPr="00196D1F">
        <w:t>sum or Kruskal</w:t>
      </w:r>
      <w:r>
        <w:t xml:space="preserve"> </w:t>
      </w:r>
      <w:r w:rsidRPr="00196D1F">
        <w:t>Wallis testing to identify variations across sub-populations.</w:t>
      </w:r>
    </w:p>
    <w:p w14:paraId="7B5DF2D5" w14:textId="77777777" w:rsidR="00196D1F" w:rsidRPr="00196D1F" w:rsidRDefault="00196D1F" w:rsidP="00196D1F">
      <w:pPr>
        <w:rPr>
          <w:b/>
          <w:bCs/>
        </w:rPr>
      </w:pPr>
      <w:r w:rsidRPr="00196D1F">
        <w:rPr>
          <w:b/>
          <w:bCs/>
        </w:rPr>
        <w:t>B-Vitamin Biosynthetic Pathway Mapping</w:t>
      </w:r>
    </w:p>
    <w:p w14:paraId="5E39E132" w14:textId="77777777" w:rsidR="00196D1F" w:rsidRPr="00196D1F" w:rsidRDefault="00196D1F" w:rsidP="00196D1F">
      <w:pPr>
        <w:numPr>
          <w:ilvl w:val="0"/>
          <w:numId w:val="3"/>
        </w:numPr>
      </w:pPr>
      <w:r w:rsidRPr="00196D1F">
        <w:rPr>
          <w:b/>
          <w:bCs/>
        </w:rPr>
        <w:t>Tool(s):</w:t>
      </w:r>
      <w:r w:rsidRPr="00196D1F">
        <w:t xml:space="preserve"> </w:t>
      </w:r>
      <w:proofErr w:type="spellStart"/>
      <w:r w:rsidRPr="00196D1F">
        <w:t>HUMAnN</w:t>
      </w:r>
      <w:proofErr w:type="spellEnd"/>
      <w:r w:rsidRPr="00196D1F">
        <w:t xml:space="preserve"> (HMP Unified Metabolic Analysis Network) pipeline for functional metabolic profiling from short reads; custom R scripts for tracking path coverage and pathway abundance matrix configurations.</w:t>
      </w:r>
    </w:p>
    <w:p w14:paraId="6D8112E7" w14:textId="77777777" w:rsidR="00196D1F" w:rsidRPr="00196D1F" w:rsidRDefault="00196D1F" w:rsidP="00196D1F">
      <w:pPr>
        <w:numPr>
          <w:ilvl w:val="0"/>
          <w:numId w:val="3"/>
        </w:numPr>
      </w:pPr>
      <w:r w:rsidRPr="00196D1F">
        <w:rPr>
          <w:b/>
          <w:bCs/>
        </w:rPr>
        <w:lastRenderedPageBreak/>
        <w:t>Database(s):</w:t>
      </w:r>
      <w:r w:rsidRPr="00196D1F">
        <w:t xml:space="preserve"> </w:t>
      </w:r>
      <w:proofErr w:type="spellStart"/>
      <w:r w:rsidRPr="00196D1F">
        <w:t>ChocoPhlAn</w:t>
      </w:r>
      <w:proofErr w:type="spellEnd"/>
      <w:r w:rsidRPr="00196D1F">
        <w:t xml:space="preserve"> database; UniRef50/UniRef90 protein reference </w:t>
      </w:r>
      <w:proofErr w:type="spellStart"/>
      <w:r w:rsidRPr="00196D1F">
        <w:t>catalogs</w:t>
      </w:r>
      <w:proofErr w:type="spellEnd"/>
      <w:r w:rsidRPr="00196D1F">
        <w:t xml:space="preserve">; </w:t>
      </w:r>
      <w:proofErr w:type="spellStart"/>
      <w:r w:rsidRPr="00196D1F">
        <w:t>MetaCyc</w:t>
      </w:r>
      <w:proofErr w:type="spellEnd"/>
      <w:r w:rsidRPr="00196D1F">
        <w:t xml:space="preserve"> metabolic pathway reference library.</w:t>
      </w:r>
    </w:p>
    <w:p w14:paraId="0BBF1CA9" w14:textId="77777777" w:rsidR="00196D1F" w:rsidRPr="00196D1F" w:rsidRDefault="00196D1F" w:rsidP="00196D1F">
      <w:pPr>
        <w:numPr>
          <w:ilvl w:val="0"/>
          <w:numId w:val="3"/>
        </w:numPr>
      </w:pPr>
      <w:r w:rsidRPr="00196D1F">
        <w:rPr>
          <w:b/>
          <w:bCs/>
        </w:rPr>
        <w:t>Normalization:</w:t>
      </w:r>
      <w:r w:rsidRPr="00196D1F">
        <w:t xml:space="preserve"> RPKM (Reads Per Kilobase per Million mapped reads) or relative abundance transformation of individual enzyme and pathway abundance matrices.</w:t>
      </w:r>
    </w:p>
    <w:p w14:paraId="3DBB32DF" w14:textId="77777777" w:rsidR="00196D1F" w:rsidRPr="00196D1F" w:rsidRDefault="00196D1F" w:rsidP="00196D1F">
      <w:pPr>
        <w:numPr>
          <w:ilvl w:val="0"/>
          <w:numId w:val="3"/>
        </w:numPr>
      </w:pPr>
      <w:r w:rsidRPr="00196D1F">
        <w:rPr>
          <w:b/>
          <w:bCs/>
        </w:rPr>
        <w:t>Goal of the analysis:</w:t>
      </w:r>
      <w:r w:rsidRPr="00196D1F">
        <w:t xml:space="preserve"> Characterize the functional capacity of the gut microbiome to biosynthesize essential micronutrients (specifically the eight essential B-vitamins), detailing how pathway completeness and prevalence vary by lifestyle.</w:t>
      </w:r>
    </w:p>
    <w:p w14:paraId="519B66AF" w14:textId="77777777" w:rsidR="00196D1F" w:rsidRPr="00196D1F" w:rsidRDefault="00196D1F" w:rsidP="00196D1F">
      <w:pPr>
        <w:numPr>
          <w:ilvl w:val="0"/>
          <w:numId w:val="3"/>
        </w:numPr>
      </w:pPr>
      <w:r w:rsidRPr="00196D1F">
        <w:rPr>
          <w:b/>
          <w:bCs/>
        </w:rPr>
        <w:t>Key metrics or statistical approaches:</w:t>
      </w:r>
      <w:r w:rsidRPr="00196D1F">
        <w:t xml:space="preserve"> Pathway coverage thresholds (evaluating whether a pathway is considered "present" based on the detection of its essential enzymatic steps); profiling enzyme enrichments for synthesis cascades including </w:t>
      </w:r>
      <w:proofErr w:type="spellStart"/>
      <w:r w:rsidRPr="00196D1F">
        <w:t>thiamin</w:t>
      </w:r>
      <w:proofErr w:type="spellEnd"/>
      <w:r w:rsidRPr="00196D1F">
        <w:t xml:space="preserve"> (B1), riboflavin (B2), niacin (B3), pantothenate (B5), pyridoxine (B6), biotin (B7), folate (B9), and cobalamin (B12).</w:t>
      </w:r>
    </w:p>
    <w:p w14:paraId="51BF20F7" w14:textId="77777777" w:rsidR="00196D1F" w:rsidRPr="00196D1F" w:rsidRDefault="00196D1F" w:rsidP="00196D1F">
      <w:pPr>
        <w:rPr>
          <w:b/>
          <w:bCs/>
        </w:rPr>
      </w:pPr>
      <w:r w:rsidRPr="00196D1F">
        <w:rPr>
          <w:b/>
          <w:bCs/>
        </w:rPr>
        <w:t>Cross-Cohort Comparative Biosystematics</w:t>
      </w:r>
    </w:p>
    <w:p w14:paraId="2C6071F5" w14:textId="77777777" w:rsidR="00196D1F" w:rsidRPr="00196D1F" w:rsidRDefault="00196D1F" w:rsidP="00196D1F">
      <w:pPr>
        <w:numPr>
          <w:ilvl w:val="0"/>
          <w:numId w:val="4"/>
        </w:numPr>
      </w:pPr>
      <w:r w:rsidRPr="00196D1F">
        <w:rPr>
          <w:b/>
          <w:bCs/>
        </w:rPr>
        <w:t>Tool(s):</w:t>
      </w:r>
      <w:r w:rsidRPr="00196D1F">
        <w:t xml:space="preserve"> Contrast learning and differential abundance </w:t>
      </w:r>
      <w:proofErr w:type="spellStart"/>
      <w:r w:rsidRPr="00196D1F">
        <w:t>modeling</w:t>
      </w:r>
      <w:proofErr w:type="spellEnd"/>
      <w:r w:rsidRPr="00196D1F">
        <w:t xml:space="preserve"> frameworks (such as DESeq2 or ANCOM-BC); statistical monitoring models defining physiological boundaries.</w:t>
      </w:r>
    </w:p>
    <w:p w14:paraId="0B008FC3" w14:textId="77777777" w:rsidR="00196D1F" w:rsidRPr="00196D1F" w:rsidRDefault="00196D1F" w:rsidP="00196D1F">
      <w:pPr>
        <w:numPr>
          <w:ilvl w:val="0"/>
          <w:numId w:val="4"/>
        </w:numPr>
      </w:pPr>
      <w:r w:rsidRPr="00196D1F">
        <w:rPr>
          <w:b/>
          <w:bCs/>
        </w:rPr>
        <w:t>Database(s):</w:t>
      </w:r>
      <w:r w:rsidRPr="00196D1F">
        <w:t xml:space="preserve"> Matched international datasets, explicitly including reference Chinese cohorts and Western cohorts, to distinguish regional baseline signatures.</w:t>
      </w:r>
    </w:p>
    <w:p w14:paraId="2F97D175" w14:textId="65AFA14C" w:rsidR="00196D1F" w:rsidRPr="00196D1F" w:rsidRDefault="00196D1F" w:rsidP="00196D1F">
      <w:pPr>
        <w:numPr>
          <w:ilvl w:val="0"/>
          <w:numId w:val="4"/>
        </w:numPr>
      </w:pPr>
      <w:r w:rsidRPr="00196D1F">
        <w:rPr>
          <w:b/>
          <w:bCs/>
        </w:rPr>
        <w:t>Normalization:</w:t>
      </w:r>
      <w:r w:rsidRPr="00196D1F">
        <w:t xml:space="preserve"> Compositional data transformations, including </w:t>
      </w:r>
      <w:proofErr w:type="spellStart"/>
      <w:r w:rsidRPr="00196D1F">
        <w:t>Centered</w:t>
      </w:r>
      <w:proofErr w:type="spellEnd"/>
      <w:r w:rsidRPr="00196D1F">
        <w:t xml:space="preserve"> Log</w:t>
      </w:r>
      <w:r>
        <w:t xml:space="preserve"> </w:t>
      </w:r>
      <w:r w:rsidRPr="00196D1F">
        <w:t>Ratio (CLR) adjustments, to minimize statistical errors across separate sequencing batches.</w:t>
      </w:r>
    </w:p>
    <w:p w14:paraId="6E4B3005" w14:textId="77777777" w:rsidR="00196D1F" w:rsidRPr="00196D1F" w:rsidRDefault="00196D1F" w:rsidP="00196D1F">
      <w:pPr>
        <w:numPr>
          <w:ilvl w:val="0"/>
          <w:numId w:val="4"/>
        </w:numPr>
      </w:pPr>
      <w:r w:rsidRPr="00196D1F">
        <w:rPr>
          <w:b/>
          <w:bCs/>
        </w:rPr>
        <w:t>Goal of the analysis:</w:t>
      </w:r>
      <w:r w:rsidRPr="00196D1F">
        <w:t xml:space="preserve"> Identify unique structural or functional features that distinguish the regional cohort from international cohorts; delineate how urbanization drives a transition from </w:t>
      </w:r>
      <w:proofErr w:type="spellStart"/>
      <w:r w:rsidRPr="00196D1F">
        <w:rPr>
          <w:i/>
          <w:iCs/>
        </w:rPr>
        <w:t>Prevotella</w:t>
      </w:r>
      <w:proofErr w:type="spellEnd"/>
      <w:r w:rsidRPr="00196D1F">
        <w:t xml:space="preserve">-dominant traditional configurations to </w:t>
      </w:r>
      <w:r w:rsidRPr="00196D1F">
        <w:rPr>
          <w:i/>
          <w:iCs/>
        </w:rPr>
        <w:t>Bacteroides</w:t>
      </w:r>
      <w:r w:rsidRPr="00196D1F">
        <w:t>-heavy westernized niches.</w:t>
      </w:r>
    </w:p>
    <w:p w14:paraId="557E2AB3" w14:textId="7A44D8EB" w:rsidR="00196D1F" w:rsidRPr="00196D1F" w:rsidRDefault="00196D1F" w:rsidP="00196D1F">
      <w:pPr>
        <w:numPr>
          <w:ilvl w:val="0"/>
          <w:numId w:val="4"/>
        </w:numPr>
      </w:pPr>
      <w:r w:rsidRPr="00196D1F">
        <w:rPr>
          <w:b/>
          <w:bCs/>
        </w:rPr>
        <w:t>Key metrics or statistical approaches:</w:t>
      </w:r>
      <w:r w:rsidRPr="00196D1F">
        <w:t xml:space="preserve"> Wald test statistics with adjusted p-value limits (p &lt; 0.01) defining differentially enriched species and metabolic pathways; calculating population-specific shifts, such as the high prevalence of folate synthesis pathways in rural groups compared to urban counterparts.</w:t>
      </w:r>
    </w:p>
    <w:p w14:paraId="6438EAAB" w14:textId="77777777" w:rsidR="00196D1F" w:rsidRPr="00196D1F" w:rsidRDefault="00196D1F" w:rsidP="00196D1F">
      <w:pPr>
        <w:rPr>
          <w:b/>
          <w:bCs/>
        </w:rPr>
      </w:pPr>
      <w:r w:rsidRPr="00196D1F">
        <w:rPr>
          <w:b/>
          <w:bCs/>
        </w:rPr>
        <w:t xml:space="preserve">Multivariate Beta-Diversity &amp; Health Index </w:t>
      </w:r>
      <w:proofErr w:type="spellStart"/>
      <w:r w:rsidRPr="00196D1F">
        <w:rPr>
          <w:b/>
          <w:bCs/>
        </w:rPr>
        <w:t>Modeling</w:t>
      </w:r>
      <w:proofErr w:type="spellEnd"/>
    </w:p>
    <w:p w14:paraId="768F938F" w14:textId="7312E07B" w:rsidR="00196D1F" w:rsidRPr="00196D1F" w:rsidRDefault="00196D1F" w:rsidP="00196D1F">
      <w:pPr>
        <w:numPr>
          <w:ilvl w:val="0"/>
          <w:numId w:val="5"/>
        </w:numPr>
      </w:pPr>
      <w:r w:rsidRPr="00196D1F">
        <w:rPr>
          <w:b/>
          <w:bCs/>
        </w:rPr>
        <w:t>Tool(s):</w:t>
      </w:r>
      <w:r w:rsidRPr="00196D1F">
        <w:t xml:space="preserve"> Principal Coordinate Analysis (</w:t>
      </w:r>
      <w:proofErr w:type="spellStart"/>
      <w:r w:rsidRPr="00196D1F">
        <w:t>PCoA</w:t>
      </w:r>
      <w:proofErr w:type="spellEnd"/>
      <w:r w:rsidRPr="00196D1F">
        <w:t>) and Non</w:t>
      </w:r>
      <w:r>
        <w:t xml:space="preserve"> </w:t>
      </w:r>
      <w:r w:rsidRPr="00196D1F">
        <w:t xml:space="preserve">metric Multidimensional Scaling (NMDS) projection methods; R packages (vegan, </w:t>
      </w:r>
      <w:proofErr w:type="spellStart"/>
      <w:r w:rsidRPr="00196D1F">
        <w:t>phyloseq</w:t>
      </w:r>
      <w:proofErr w:type="spellEnd"/>
      <w:r w:rsidRPr="00196D1F">
        <w:t>, ggplot2) for low</w:t>
      </w:r>
      <w:r>
        <w:t xml:space="preserve"> </w:t>
      </w:r>
      <w:r w:rsidRPr="00196D1F">
        <w:t>dimensional layout generation; health index scoring algorithms to quantify metabolic deviations.</w:t>
      </w:r>
    </w:p>
    <w:p w14:paraId="7D1CD54C" w14:textId="77777777" w:rsidR="00196D1F" w:rsidRPr="00196D1F" w:rsidRDefault="00196D1F" w:rsidP="00196D1F">
      <w:pPr>
        <w:numPr>
          <w:ilvl w:val="0"/>
          <w:numId w:val="5"/>
        </w:numPr>
      </w:pPr>
      <w:r w:rsidRPr="00196D1F">
        <w:rPr>
          <w:b/>
          <w:bCs/>
        </w:rPr>
        <w:t>Database(s):</w:t>
      </w:r>
      <w:r w:rsidRPr="00196D1F">
        <w:t xml:space="preserve"> Comprehensive metadata matrices tracking geographic location coordinates, urbanization indexes, dietary habits, and age distributions.</w:t>
      </w:r>
    </w:p>
    <w:p w14:paraId="562FCAA8" w14:textId="77777777" w:rsidR="00196D1F" w:rsidRPr="00196D1F" w:rsidRDefault="00196D1F" w:rsidP="00196D1F">
      <w:pPr>
        <w:numPr>
          <w:ilvl w:val="0"/>
          <w:numId w:val="5"/>
        </w:numPr>
      </w:pPr>
      <w:r w:rsidRPr="00196D1F">
        <w:rPr>
          <w:b/>
          <w:bCs/>
        </w:rPr>
        <w:t>Normalization:</w:t>
      </w:r>
      <w:r w:rsidRPr="00196D1F">
        <w:t xml:space="preserve"> Dissimilarity matrix calculations over filtered sequence metrics using a 0.1% baseline abundance presence constraint.</w:t>
      </w:r>
    </w:p>
    <w:p w14:paraId="027E673A" w14:textId="77777777" w:rsidR="00196D1F" w:rsidRPr="00196D1F" w:rsidRDefault="00196D1F" w:rsidP="00196D1F">
      <w:pPr>
        <w:numPr>
          <w:ilvl w:val="0"/>
          <w:numId w:val="5"/>
        </w:numPr>
      </w:pPr>
      <w:r w:rsidRPr="00196D1F">
        <w:rPr>
          <w:b/>
          <w:bCs/>
        </w:rPr>
        <w:t>Goal of the analysis:</w:t>
      </w:r>
      <w:r w:rsidRPr="00196D1F">
        <w:t xml:space="preserve"> Statistically partition how much gut microbiome variation is driven by geography and lifestyle versus host genetic background.</w:t>
      </w:r>
    </w:p>
    <w:p w14:paraId="464AC787" w14:textId="2CADB893" w:rsidR="00196D1F" w:rsidRPr="00196D1F" w:rsidRDefault="00196D1F" w:rsidP="00196D1F">
      <w:pPr>
        <w:numPr>
          <w:ilvl w:val="0"/>
          <w:numId w:val="5"/>
        </w:numPr>
      </w:pPr>
      <w:r w:rsidRPr="00196D1F">
        <w:rPr>
          <w:b/>
          <w:bCs/>
        </w:rPr>
        <w:t>Key metrics or statistical approaches:</w:t>
      </w:r>
      <w:r w:rsidRPr="00196D1F">
        <w:t xml:space="preserve"> Permutational Multivariate Analysis of Variance (PERMANOVA/Adonis, 999 replicates) testing distance structures across cohorts; Bray</w:t>
      </w:r>
      <w:r>
        <w:t xml:space="preserve"> </w:t>
      </w:r>
      <w:r w:rsidRPr="00196D1F">
        <w:t xml:space="preserve">Curtis and Aitchison distance metrics capturing population clusters; establishing healthy baseline </w:t>
      </w:r>
      <w:r w:rsidRPr="00196D1F">
        <w:lastRenderedPageBreak/>
        <w:t>boundaries using contrast models to calculate individual contribution scores for core taxonomic elements.</w:t>
      </w:r>
    </w:p>
    <w:p w14:paraId="00EF3B6A" w14:textId="77777777" w:rsidR="000C3267" w:rsidRDefault="000C3267"/>
    <w:sectPr w:rsidR="000C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A77C7"/>
    <w:multiLevelType w:val="multilevel"/>
    <w:tmpl w:val="B10E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47B94"/>
    <w:multiLevelType w:val="multilevel"/>
    <w:tmpl w:val="7A7C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37369"/>
    <w:multiLevelType w:val="multilevel"/>
    <w:tmpl w:val="90A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E2B52"/>
    <w:multiLevelType w:val="multilevel"/>
    <w:tmpl w:val="470C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82CCD"/>
    <w:multiLevelType w:val="multilevel"/>
    <w:tmpl w:val="DD30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368594">
    <w:abstractNumId w:val="0"/>
  </w:num>
  <w:num w:numId="2" w16cid:durableId="199631962">
    <w:abstractNumId w:val="4"/>
  </w:num>
  <w:num w:numId="3" w16cid:durableId="2088183830">
    <w:abstractNumId w:val="3"/>
  </w:num>
  <w:num w:numId="4" w16cid:durableId="1408186532">
    <w:abstractNumId w:val="2"/>
  </w:num>
  <w:num w:numId="5" w16cid:durableId="1523012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D1F"/>
    <w:rsid w:val="00093DA7"/>
    <w:rsid w:val="000C3267"/>
    <w:rsid w:val="00196D1F"/>
    <w:rsid w:val="00227B78"/>
    <w:rsid w:val="007A7287"/>
    <w:rsid w:val="0085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E56E8"/>
  <w15:chartTrackingRefBased/>
  <w15:docId w15:val="{C9D7E45A-0CF9-4CB3-A5B8-D3CF11F04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D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6D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6D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doi.org/10.1186/s40168-023-01614-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17/S0007114523002179" TargetMode="External"/><Relationship Id="rId5" Type="http://schemas.openxmlformats.org/officeDocument/2006/relationships/hyperlink" Target="https://www.google.com/search?q=https://doi.org/10.1371/journal.pone.023119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907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Joseph</dc:creator>
  <cp:keywords/>
  <dc:description/>
  <cp:lastModifiedBy>Melvin Joseph</cp:lastModifiedBy>
  <cp:revision>1</cp:revision>
  <dcterms:created xsi:type="dcterms:W3CDTF">2026-06-15T17:33:00Z</dcterms:created>
  <dcterms:modified xsi:type="dcterms:W3CDTF">2026-06-15T17:36:00Z</dcterms:modified>
</cp:coreProperties>
</file>