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77483" w14:textId="77777777" w:rsidR="008143C7" w:rsidRPr="008143C7" w:rsidRDefault="008143C7" w:rsidP="008143C7">
      <w:pPr>
        <w:rPr>
          <w:b/>
          <w:bCs/>
          <w:sz w:val="36"/>
          <w:szCs w:val="36"/>
        </w:rPr>
      </w:pPr>
      <w:r w:rsidRPr="008143C7">
        <w:rPr>
          <w:b/>
          <w:bCs/>
          <w:sz w:val="36"/>
          <w:szCs w:val="36"/>
        </w:rPr>
        <w:t>Analysis Plan - SRP212572</w:t>
      </w:r>
    </w:p>
    <w:p w14:paraId="697D8F78" w14:textId="77777777" w:rsidR="008143C7" w:rsidRPr="008143C7" w:rsidRDefault="008143C7" w:rsidP="008143C7">
      <w:r w:rsidRPr="008143C7">
        <w:rPr>
          <w:b/>
          <w:bCs/>
        </w:rPr>
        <w:t>Study Accession:</w:t>
      </w:r>
      <w:r w:rsidRPr="008143C7">
        <w:t xml:space="preserve"> SRP212572 (SRA </w:t>
      </w:r>
      <w:proofErr w:type="spellStart"/>
      <w:r w:rsidRPr="008143C7">
        <w:t>BioProject</w:t>
      </w:r>
      <w:proofErr w:type="spellEnd"/>
      <w:r w:rsidRPr="008143C7">
        <w:t xml:space="preserve"> PRJNA565910 / Kerala Flood Curation)</w:t>
      </w:r>
    </w:p>
    <w:p w14:paraId="10F5CC2F" w14:textId="77777777" w:rsidR="008143C7" w:rsidRPr="008143C7" w:rsidRDefault="008143C7" w:rsidP="008143C7">
      <w:r w:rsidRPr="008143C7">
        <w:rPr>
          <w:b/>
          <w:bCs/>
        </w:rPr>
        <w:t>Study Type:</w:t>
      </w:r>
      <w:r w:rsidRPr="008143C7">
        <w:t xml:space="preserve"> Post-disaster environmental geomicrobiology, waterborne epidemiology, and </w:t>
      </w:r>
      <w:proofErr w:type="spellStart"/>
      <w:r w:rsidRPr="008143C7">
        <w:t>resistome</w:t>
      </w:r>
      <w:proofErr w:type="spellEnd"/>
      <w:r w:rsidRPr="008143C7">
        <w:t xml:space="preserve"> tracking</w:t>
      </w:r>
    </w:p>
    <w:p w14:paraId="40A6D588" w14:textId="77777777" w:rsidR="008143C7" w:rsidRPr="008143C7" w:rsidRDefault="008143C7" w:rsidP="008143C7">
      <w:r w:rsidRPr="008143C7">
        <w:rPr>
          <w:b/>
          <w:bCs/>
        </w:rPr>
        <w:t>Sample Type:</w:t>
      </w:r>
      <w:r w:rsidRPr="008143C7">
        <w:t xml:space="preserve"> Environmental surface water and community well-water samples collected across flood-impacted regions</w:t>
      </w:r>
    </w:p>
    <w:p w14:paraId="5B5A8D8F" w14:textId="77777777" w:rsidR="008143C7" w:rsidRPr="008143C7" w:rsidRDefault="008143C7" w:rsidP="008143C7">
      <w:r w:rsidRPr="008143C7">
        <w:rPr>
          <w:b/>
          <w:bCs/>
        </w:rPr>
        <w:t>Associated Publications / DOIs:</w:t>
      </w:r>
    </w:p>
    <w:p w14:paraId="3BF587E8" w14:textId="77777777" w:rsidR="008143C7" w:rsidRPr="008143C7" w:rsidRDefault="008143C7" w:rsidP="008143C7">
      <w:pPr>
        <w:numPr>
          <w:ilvl w:val="0"/>
          <w:numId w:val="1"/>
        </w:numPr>
      </w:pPr>
      <w:proofErr w:type="spellStart"/>
      <w:r w:rsidRPr="008143C7">
        <w:t>Divakaran</w:t>
      </w:r>
      <w:proofErr w:type="spellEnd"/>
      <w:r w:rsidRPr="008143C7">
        <w:t xml:space="preserve"> et al., 2019 (</w:t>
      </w:r>
      <w:r w:rsidRPr="008143C7">
        <w:rPr>
          <w:i/>
          <w:iCs/>
        </w:rPr>
        <w:t>Microorganisms</w:t>
      </w:r>
      <w:r w:rsidRPr="008143C7">
        <w:t xml:space="preserve">): </w:t>
      </w:r>
      <w:hyperlink r:id="rId5" w:tgtFrame="_blank" w:history="1">
        <w:r w:rsidRPr="008143C7">
          <w:rPr>
            <w:rStyle w:val="Hyperlink"/>
          </w:rPr>
          <w:t>https://doi.org/10.3390/microorganisms7100474</w:t>
        </w:r>
      </w:hyperlink>
    </w:p>
    <w:p w14:paraId="556BAAC5" w14:textId="33FF8CC3" w:rsidR="008143C7" w:rsidRPr="008143C7" w:rsidRDefault="008143C7" w:rsidP="008143C7">
      <w:r w:rsidRPr="008143C7">
        <w:rPr>
          <w:b/>
          <w:bCs/>
        </w:rPr>
        <w:t>Study Design:</w:t>
      </w:r>
      <w:r w:rsidRPr="008143C7">
        <w:t xml:space="preserve"> Environmental public health assessment capturing the immediate impact of the catastrophic August 2018 flood crisis in Kerala, South India, on aquatic bacterial profiles and antibiotic resistance proliferation. Due to massive structural overflooding, municipal sewage, agricultural waste, and urban runoff mixed directly with drinking water grids. Total environmental community DNA extracted from water filtration residues collected across high-, medium-, and low-impact zones was sequenced using high</w:t>
      </w:r>
      <w:r>
        <w:t xml:space="preserve"> </w:t>
      </w:r>
      <w:r w:rsidRPr="008143C7">
        <w:t>throughput whole-genome shotgun (WGS) metagenomics on the Illumina platform (2</w:t>
      </w:r>
      <w:r>
        <w:t>*</w:t>
      </w:r>
      <w:r w:rsidRPr="008143C7">
        <w:t>150 bp paired</w:t>
      </w:r>
      <w:r>
        <w:t xml:space="preserve"> </w:t>
      </w:r>
      <w:r w:rsidRPr="008143C7">
        <w:t>end libraries). Downstream characterization evaluates the structural breakdown of the water microbiome, tracks priority waterborne pathobionts, and inventories the post</w:t>
      </w:r>
      <w:r>
        <w:t xml:space="preserve"> </w:t>
      </w:r>
      <w:r w:rsidRPr="008143C7">
        <w:t xml:space="preserve">flood mobilized environmental </w:t>
      </w:r>
      <w:proofErr w:type="spellStart"/>
      <w:r w:rsidRPr="008143C7">
        <w:t>resistome</w:t>
      </w:r>
      <w:proofErr w:type="spellEnd"/>
      <w:r w:rsidRPr="008143C7">
        <w:t>.</w:t>
      </w:r>
    </w:p>
    <w:p w14:paraId="1E831917" w14:textId="77777777" w:rsidR="008143C7" w:rsidRPr="008143C7" w:rsidRDefault="008143C7" w:rsidP="008143C7">
      <w:pPr>
        <w:rPr>
          <w:b/>
          <w:bCs/>
        </w:rPr>
      </w:pPr>
      <w:r w:rsidRPr="008143C7">
        <w:rPr>
          <w:b/>
          <w:bCs/>
        </w:rPr>
        <w:t>Sequence Preprocessing &amp; Taxonomy Mapping</w:t>
      </w:r>
    </w:p>
    <w:p w14:paraId="266652CF" w14:textId="77777777" w:rsidR="008143C7" w:rsidRPr="008143C7" w:rsidRDefault="008143C7" w:rsidP="008143C7">
      <w:pPr>
        <w:numPr>
          <w:ilvl w:val="0"/>
          <w:numId w:val="2"/>
        </w:numPr>
      </w:pPr>
      <w:r w:rsidRPr="008143C7">
        <w:rPr>
          <w:b/>
          <w:bCs/>
        </w:rPr>
        <w:t>Tool(s):</w:t>
      </w:r>
      <w:r w:rsidRPr="008143C7">
        <w:t xml:space="preserve"> </w:t>
      </w:r>
      <w:proofErr w:type="spellStart"/>
      <w:r w:rsidRPr="008143C7">
        <w:t>Trimmomatic</w:t>
      </w:r>
      <w:proofErr w:type="spellEnd"/>
      <w:r w:rsidRPr="008143C7">
        <w:t xml:space="preserve"> or </w:t>
      </w:r>
      <w:proofErr w:type="spellStart"/>
      <w:r w:rsidRPr="008143C7">
        <w:t>fastp</w:t>
      </w:r>
      <w:proofErr w:type="spellEnd"/>
      <w:r w:rsidRPr="008143C7">
        <w:t xml:space="preserve"> for raw read sequence cleaning, adapter excision, and sliding-window quality filtration; Kraken2 or </w:t>
      </w:r>
      <w:proofErr w:type="spellStart"/>
      <w:r w:rsidRPr="008143C7">
        <w:t>MetaPhlAn</w:t>
      </w:r>
      <w:proofErr w:type="spellEnd"/>
      <w:r w:rsidRPr="008143C7">
        <w:t xml:space="preserve"> engines for direct taxonomic read-fragment classification; Bracken for precise species-level abundance re-estimation.</w:t>
      </w:r>
    </w:p>
    <w:p w14:paraId="3E83A5AB" w14:textId="77777777" w:rsidR="008143C7" w:rsidRPr="008143C7" w:rsidRDefault="008143C7" w:rsidP="008143C7">
      <w:pPr>
        <w:numPr>
          <w:ilvl w:val="0"/>
          <w:numId w:val="2"/>
        </w:numPr>
      </w:pPr>
      <w:r w:rsidRPr="008143C7">
        <w:rPr>
          <w:b/>
          <w:bCs/>
        </w:rPr>
        <w:t>Database(s):</w:t>
      </w:r>
      <w:r w:rsidRPr="008143C7">
        <w:t xml:space="preserve"> Standard Kraken2 database; NCBI </w:t>
      </w:r>
      <w:proofErr w:type="spellStart"/>
      <w:r w:rsidRPr="008143C7">
        <w:t>RefSeq</w:t>
      </w:r>
      <w:proofErr w:type="spellEnd"/>
      <w:r w:rsidRPr="008143C7">
        <w:t xml:space="preserve"> microbial genomics reference collection; GTDB taxonomy </w:t>
      </w:r>
      <w:proofErr w:type="spellStart"/>
      <w:r w:rsidRPr="008143C7">
        <w:t>catalog</w:t>
      </w:r>
      <w:proofErr w:type="spellEnd"/>
      <w:r w:rsidRPr="008143C7">
        <w:t>.</w:t>
      </w:r>
    </w:p>
    <w:p w14:paraId="5B775C1F" w14:textId="77777777" w:rsidR="008143C7" w:rsidRPr="008143C7" w:rsidRDefault="008143C7" w:rsidP="008143C7">
      <w:pPr>
        <w:numPr>
          <w:ilvl w:val="0"/>
          <w:numId w:val="2"/>
        </w:numPr>
      </w:pPr>
      <w:r w:rsidRPr="008143C7">
        <w:rPr>
          <w:b/>
          <w:bCs/>
        </w:rPr>
        <w:t>Normalization:</w:t>
      </w:r>
      <w:r w:rsidRPr="008143C7">
        <w:t xml:space="preserve"> Read count scaling to relative abundance percentages or length-normalized depth tracking across core species markers to eliminate library size bias across disparate environmental samples.</w:t>
      </w:r>
    </w:p>
    <w:p w14:paraId="0D160AA6" w14:textId="77777777" w:rsidR="008143C7" w:rsidRPr="008143C7" w:rsidRDefault="008143C7" w:rsidP="008143C7">
      <w:pPr>
        <w:numPr>
          <w:ilvl w:val="0"/>
          <w:numId w:val="2"/>
        </w:numPr>
      </w:pPr>
      <w:r w:rsidRPr="008143C7">
        <w:rPr>
          <w:b/>
          <w:bCs/>
        </w:rPr>
        <w:t>Goal of the analysis:</w:t>
      </w:r>
      <w:r w:rsidRPr="008143C7">
        <w:t xml:space="preserve"> Profile the baseline bacteriome structure of flood-impacted water resources, tracking the distribution of dominant phyla (e.g., </w:t>
      </w:r>
      <w:r w:rsidRPr="008143C7">
        <w:rPr>
          <w:i/>
          <w:iCs/>
        </w:rPr>
        <w:t>Proteobacteria</w:t>
      </w:r>
      <w:r w:rsidRPr="008143C7">
        <w:t xml:space="preserve">, </w:t>
      </w:r>
      <w:r w:rsidRPr="008143C7">
        <w:rPr>
          <w:i/>
          <w:iCs/>
        </w:rPr>
        <w:t>Bacteroidetes</w:t>
      </w:r>
      <w:r w:rsidRPr="008143C7">
        <w:t xml:space="preserve">, </w:t>
      </w:r>
      <w:r w:rsidRPr="008143C7">
        <w:rPr>
          <w:i/>
          <w:iCs/>
        </w:rPr>
        <w:t>Firmicutes</w:t>
      </w:r>
      <w:r w:rsidRPr="008143C7">
        <w:t>) and determining species-level population configurations across separate impact zones.</w:t>
      </w:r>
    </w:p>
    <w:p w14:paraId="21A33FAC" w14:textId="2B446D90" w:rsidR="008143C7" w:rsidRPr="008143C7" w:rsidRDefault="008143C7" w:rsidP="008143C7">
      <w:pPr>
        <w:numPr>
          <w:ilvl w:val="0"/>
          <w:numId w:val="2"/>
        </w:numPr>
      </w:pPr>
      <w:r w:rsidRPr="008143C7">
        <w:rPr>
          <w:b/>
          <w:bCs/>
        </w:rPr>
        <w:t>Key metrics or statistical approaches:</w:t>
      </w:r>
      <w:r w:rsidRPr="008143C7">
        <w:t xml:space="preserve"> Structural alpha diversity richness estimators (Shannon and Simpson indices); Principal Coordinate Analysis (</w:t>
      </w:r>
      <w:proofErr w:type="spellStart"/>
      <w:r w:rsidRPr="008143C7">
        <w:t>PCoA</w:t>
      </w:r>
      <w:proofErr w:type="spellEnd"/>
      <w:r w:rsidRPr="008143C7">
        <w:t>) on Bray</w:t>
      </w:r>
      <w:r>
        <w:t xml:space="preserve"> </w:t>
      </w:r>
      <w:r w:rsidRPr="008143C7">
        <w:t>Curtis dissimilarity matrices paired with PERMANOVA to test community variance relative to regional flooding severity boundaries.</w:t>
      </w:r>
    </w:p>
    <w:p w14:paraId="0ECE7A43" w14:textId="77777777" w:rsidR="008143C7" w:rsidRPr="008143C7" w:rsidRDefault="008143C7" w:rsidP="008143C7">
      <w:pPr>
        <w:rPr>
          <w:b/>
          <w:bCs/>
        </w:rPr>
      </w:pPr>
      <w:r w:rsidRPr="008143C7">
        <w:rPr>
          <w:b/>
          <w:bCs/>
        </w:rPr>
        <w:t>Pathobiont Screening &amp; Outbreak Risk Assessment</w:t>
      </w:r>
    </w:p>
    <w:p w14:paraId="2235087A" w14:textId="77777777" w:rsidR="008143C7" w:rsidRPr="008143C7" w:rsidRDefault="008143C7" w:rsidP="008143C7">
      <w:pPr>
        <w:numPr>
          <w:ilvl w:val="0"/>
          <w:numId w:val="3"/>
        </w:numPr>
      </w:pPr>
      <w:r w:rsidRPr="008143C7">
        <w:rPr>
          <w:b/>
          <w:bCs/>
        </w:rPr>
        <w:t>Tool(s):</w:t>
      </w:r>
      <w:r w:rsidRPr="008143C7">
        <w:t xml:space="preserve"> Metagenomic read alignment software; automated pathogen classification pipelines; species-specific marker coverage tools.</w:t>
      </w:r>
    </w:p>
    <w:p w14:paraId="6792E345" w14:textId="77777777" w:rsidR="008143C7" w:rsidRPr="008143C7" w:rsidRDefault="008143C7" w:rsidP="008143C7">
      <w:pPr>
        <w:numPr>
          <w:ilvl w:val="0"/>
          <w:numId w:val="3"/>
        </w:numPr>
      </w:pPr>
      <w:r w:rsidRPr="008143C7">
        <w:rPr>
          <w:b/>
          <w:bCs/>
        </w:rPr>
        <w:t>Database(s):</w:t>
      </w:r>
      <w:r w:rsidRPr="008143C7">
        <w:t xml:space="preserve"> WHO priority pathogen lists; NCBI pathogenic bacteria reference frameworks; Virulence Factor Database (VFDB).</w:t>
      </w:r>
    </w:p>
    <w:p w14:paraId="0925BBB1" w14:textId="77777777" w:rsidR="008143C7" w:rsidRPr="008143C7" w:rsidRDefault="008143C7" w:rsidP="008143C7">
      <w:pPr>
        <w:numPr>
          <w:ilvl w:val="0"/>
          <w:numId w:val="3"/>
        </w:numPr>
      </w:pPr>
      <w:r w:rsidRPr="008143C7">
        <w:rPr>
          <w:b/>
          <w:bCs/>
        </w:rPr>
        <w:lastRenderedPageBreak/>
        <w:t>Normalization:</w:t>
      </w:r>
      <w:r w:rsidRPr="008143C7">
        <w:t xml:space="preserve"> Pathogen-specific read mapping depths normalized per million total mapped reads (</w:t>
      </w:r>
      <w:proofErr w:type="spellStart"/>
      <w:r w:rsidRPr="008143C7">
        <w:t>rPM</w:t>
      </w:r>
      <w:proofErr w:type="spellEnd"/>
      <w:r w:rsidRPr="008143C7">
        <w:t>) to enable robust cross-sample validation.</w:t>
      </w:r>
    </w:p>
    <w:p w14:paraId="079E1ED1" w14:textId="77777777" w:rsidR="008143C7" w:rsidRPr="008143C7" w:rsidRDefault="008143C7" w:rsidP="008143C7">
      <w:pPr>
        <w:numPr>
          <w:ilvl w:val="0"/>
          <w:numId w:val="3"/>
        </w:numPr>
      </w:pPr>
      <w:r w:rsidRPr="008143C7">
        <w:rPr>
          <w:b/>
          <w:bCs/>
        </w:rPr>
        <w:t>Goal of the analysis:</w:t>
      </w:r>
      <w:r w:rsidRPr="008143C7">
        <w:t xml:space="preserve"> Systematically screen for critical waterborne pathogens co-mobilized during the flood crisis, mapping infectious disease indicators across community well-water infrastructure.</w:t>
      </w:r>
    </w:p>
    <w:p w14:paraId="5810DD2A" w14:textId="77777777" w:rsidR="008143C7" w:rsidRPr="008143C7" w:rsidRDefault="008143C7" w:rsidP="008143C7">
      <w:pPr>
        <w:numPr>
          <w:ilvl w:val="0"/>
          <w:numId w:val="3"/>
        </w:numPr>
      </w:pPr>
      <w:r w:rsidRPr="008143C7">
        <w:rPr>
          <w:b/>
          <w:bCs/>
        </w:rPr>
        <w:t>Key metrics or statistical approaches:</w:t>
      </w:r>
      <w:r w:rsidRPr="008143C7">
        <w:t xml:space="preserve"> Quantitative detection profiles tracking priority outbreaking pathobionts, explicitly focusing on the localized enrichment of </w:t>
      </w:r>
      <w:r w:rsidRPr="008143C7">
        <w:rPr>
          <w:i/>
          <w:iCs/>
        </w:rPr>
        <w:t>Vibrio cholerae</w:t>
      </w:r>
      <w:r w:rsidRPr="008143C7">
        <w:t xml:space="preserve">, </w:t>
      </w:r>
      <w:r w:rsidRPr="008143C7">
        <w:rPr>
          <w:i/>
          <w:iCs/>
        </w:rPr>
        <w:t xml:space="preserve">Leptospira </w:t>
      </w:r>
      <w:proofErr w:type="spellStart"/>
      <w:r w:rsidRPr="008143C7">
        <w:rPr>
          <w:i/>
          <w:iCs/>
        </w:rPr>
        <w:t>interrogans</w:t>
      </w:r>
      <w:proofErr w:type="spellEnd"/>
      <w:r w:rsidRPr="008143C7">
        <w:t xml:space="preserve">, </w:t>
      </w:r>
      <w:r w:rsidRPr="008143C7">
        <w:rPr>
          <w:i/>
          <w:iCs/>
        </w:rPr>
        <w:t>Salmonella enterica</w:t>
      </w:r>
      <w:r w:rsidRPr="008143C7">
        <w:t xml:space="preserve">, </w:t>
      </w:r>
      <w:r w:rsidRPr="008143C7">
        <w:rPr>
          <w:i/>
          <w:iCs/>
        </w:rPr>
        <w:t>Shigella</w:t>
      </w:r>
      <w:r w:rsidRPr="008143C7">
        <w:t xml:space="preserve"> species, and pathogenic </w:t>
      </w:r>
      <w:r w:rsidRPr="008143C7">
        <w:rPr>
          <w:i/>
          <w:iCs/>
        </w:rPr>
        <w:t>Escherichia coli</w:t>
      </w:r>
      <w:r w:rsidRPr="008143C7">
        <w:t xml:space="preserve"> clades to measure regional waterborne health risks.</w:t>
      </w:r>
    </w:p>
    <w:p w14:paraId="1A0178AA" w14:textId="77777777" w:rsidR="008143C7" w:rsidRPr="008143C7" w:rsidRDefault="008143C7" w:rsidP="008143C7">
      <w:pPr>
        <w:rPr>
          <w:b/>
          <w:bCs/>
        </w:rPr>
      </w:pPr>
      <w:r w:rsidRPr="008143C7">
        <w:rPr>
          <w:b/>
          <w:bCs/>
        </w:rPr>
        <w:t xml:space="preserve">Metagenomic </w:t>
      </w:r>
      <w:proofErr w:type="spellStart"/>
      <w:r w:rsidRPr="008143C7">
        <w:rPr>
          <w:b/>
          <w:bCs/>
        </w:rPr>
        <w:t>Resistome</w:t>
      </w:r>
      <w:proofErr w:type="spellEnd"/>
      <w:r w:rsidRPr="008143C7">
        <w:rPr>
          <w:b/>
          <w:bCs/>
        </w:rPr>
        <w:t xml:space="preserve"> Inventory &amp; Profiling</w:t>
      </w:r>
    </w:p>
    <w:p w14:paraId="457ED485" w14:textId="77777777" w:rsidR="008143C7" w:rsidRPr="008143C7" w:rsidRDefault="008143C7" w:rsidP="008143C7">
      <w:pPr>
        <w:numPr>
          <w:ilvl w:val="0"/>
          <w:numId w:val="4"/>
        </w:numPr>
      </w:pPr>
      <w:r w:rsidRPr="008143C7">
        <w:rPr>
          <w:b/>
          <w:bCs/>
        </w:rPr>
        <w:t>Tool(s):</w:t>
      </w:r>
      <w:r w:rsidRPr="008143C7">
        <w:t xml:space="preserve"> Alignment-based antibiotic resistance gene (ARG) screening frameworks; resistance mapping wrappers (such as </w:t>
      </w:r>
      <w:proofErr w:type="spellStart"/>
      <w:r w:rsidRPr="008143C7">
        <w:t>AMRFinderPlus</w:t>
      </w:r>
      <w:proofErr w:type="spellEnd"/>
      <w:r w:rsidRPr="008143C7">
        <w:t xml:space="preserve">, RGI-CARD, or </w:t>
      </w:r>
      <w:proofErr w:type="spellStart"/>
      <w:r w:rsidRPr="008143C7">
        <w:t>ResFinder</w:t>
      </w:r>
      <w:proofErr w:type="spellEnd"/>
      <w:r w:rsidRPr="008143C7">
        <w:t xml:space="preserve"> configurations).</w:t>
      </w:r>
    </w:p>
    <w:p w14:paraId="2DABC616" w14:textId="77777777" w:rsidR="008143C7" w:rsidRPr="008143C7" w:rsidRDefault="008143C7" w:rsidP="008143C7">
      <w:pPr>
        <w:numPr>
          <w:ilvl w:val="0"/>
          <w:numId w:val="4"/>
        </w:numPr>
      </w:pPr>
      <w:r w:rsidRPr="008143C7">
        <w:rPr>
          <w:b/>
          <w:bCs/>
        </w:rPr>
        <w:t>Database(s):</w:t>
      </w:r>
      <w:r w:rsidRPr="008143C7">
        <w:t xml:space="preserve"> Comprehensive Antibiotic Resistance Database (CARD); </w:t>
      </w:r>
      <w:proofErr w:type="spellStart"/>
      <w:r w:rsidRPr="008143C7">
        <w:t>MegaRes</w:t>
      </w:r>
      <w:proofErr w:type="spellEnd"/>
      <w:r w:rsidRPr="008143C7">
        <w:t xml:space="preserve">; National Database of </w:t>
      </w:r>
      <w:proofErr w:type="gramStart"/>
      <w:r w:rsidRPr="008143C7">
        <w:t>Antibiotic Resistant</w:t>
      </w:r>
      <w:proofErr w:type="gramEnd"/>
      <w:r w:rsidRPr="008143C7">
        <w:t xml:space="preserve"> Organisms (NDARO).</w:t>
      </w:r>
    </w:p>
    <w:p w14:paraId="31DB16AE" w14:textId="77777777" w:rsidR="008143C7" w:rsidRPr="008143C7" w:rsidRDefault="008143C7" w:rsidP="008143C7">
      <w:pPr>
        <w:numPr>
          <w:ilvl w:val="0"/>
          <w:numId w:val="4"/>
        </w:numPr>
      </w:pPr>
      <w:r w:rsidRPr="008143C7">
        <w:rPr>
          <w:b/>
          <w:bCs/>
        </w:rPr>
        <w:t>Normalization:</w:t>
      </w:r>
      <w:r w:rsidRPr="008143C7">
        <w:t xml:space="preserve"> Mapped ARG read counts length-normalized and scaled against total bacterial chromosomal marker read counts to evaluate structural resistance carrying capacity.</w:t>
      </w:r>
    </w:p>
    <w:p w14:paraId="3D01DF23" w14:textId="77777777" w:rsidR="008143C7" w:rsidRPr="008143C7" w:rsidRDefault="008143C7" w:rsidP="008143C7">
      <w:pPr>
        <w:numPr>
          <w:ilvl w:val="0"/>
          <w:numId w:val="4"/>
        </w:numPr>
      </w:pPr>
      <w:r w:rsidRPr="008143C7">
        <w:rPr>
          <w:b/>
          <w:bCs/>
        </w:rPr>
        <w:t>Goal of the analysis:</w:t>
      </w:r>
      <w:r w:rsidRPr="008143C7">
        <w:t xml:space="preserve"> Characterize and catalogue the mobilized </w:t>
      </w:r>
      <w:proofErr w:type="spellStart"/>
      <w:r w:rsidRPr="008143C7">
        <w:t>resistome</w:t>
      </w:r>
      <w:proofErr w:type="spellEnd"/>
      <w:r w:rsidRPr="008143C7">
        <w:t xml:space="preserve"> structure of the post-flood aquatic biome, partitioning ARGs by their specific antibiotic drug classes and biochemical mechanism types.</w:t>
      </w:r>
    </w:p>
    <w:p w14:paraId="0BDA17F6" w14:textId="62ADF9C1" w:rsidR="008143C7" w:rsidRPr="008143C7" w:rsidRDefault="008143C7" w:rsidP="008143C7">
      <w:pPr>
        <w:numPr>
          <w:ilvl w:val="0"/>
          <w:numId w:val="4"/>
        </w:numPr>
      </w:pPr>
      <w:r w:rsidRPr="008143C7">
        <w:rPr>
          <w:b/>
          <w:bCs/>
        </w:rPr>
        <w:t>Key metrics or statistical approaches:</w:t>
      </w:r>
      <w:r w:rsidRPr="008143C7">
        <w:t xml:space="preserve"> Mapping the abundance and diversity curves of target ARGs (such as beta</w:t>
      </w:r>
      <w:r>
        <w:t xml:space="preserve"> </w:t>
      </w:r>
      <w:r w:rsidRPr="008143C7">
        <w:t>lactamases, aminoglycoside resistance genes, and fluoroquinolone modifiers); calculating regional core vs. pan-</w:t>
      </w:r>
      <w:proofErr w:type="spellStart"/>
      <w:r w:rsidRPr="008143C7">
        <w:t>resistome</w:t>
      </w:r>
      <w:proofErr w:type="spellEnd"/>
      <w:r w:rsidRPr="008143C7">
        <w:t xml:space="preserve"> thresholds across varying flood impact categories.</w:t>
      </w:r>
    </w:p>
    <w:p w14:paraId="48D5EE77" w14:textId="77777777" w:rsidR="008143C7" w:rsidRPr="008143C7" w:rsidRDefault="008143C7" w:rsidP="008143C7">
      <w:pPr>
        <w:rPr>
          <w:b/>
          <w:bCs/>
        </w:rPr>
      </w:pPr>
      <w:r w:rsidRPr="008143C7">
        <w:rPr>
          <w:b/>
          <w:bCs/>
        </w:rPr>
        <w:t>Multivariate Ecological &amp; Geochemical Correlation Analyses</w:t>
      </w:r>
    </w:p>
    <w:p w14:paraId="522A2A9D" w14:textId="77777777" w:rsidR="008143C7" w:rsidRPr="008143C7" w:rsidRDefault="008143C7" w:rsidP="008143C7">
      <w:pPr>
        <w:numPr>
          <w:ilvl w:val="0"/>
          <w:numId w:val="5"/>
        </w:numPr>
      </w:pPr>
      <w:r w:rsidRPr="008143C7">
        <w:rPr>
          <w:b/>
          <w:bCs/>
        </w:rPr>
        <w:t>Tool(s):</w:t>
      </w:r>
      <w:r w:rsidRPr="008143C7">
        <w:t xml:space="preserve"> Non-metric Multidimensional Scaling (NMDS) projection methods; Vegan and </w:t>
      </w:r>
      <w:proofErr w:type="spellStart"/>
      <w:r w:rsidRPr="008143C7">
        <w:t>phyloseq</w:t>
      </w:r>
      <w:proofErr w:type="spellEnd"/>
      <w:r w:rsidRPr="008143C7">
        <w:t xml:space="preserve"> ecological R tools for low-dimensional layout generation; correlation network </w:t>
      </w:r>
      <w:proofErr w:type="spellStart"/>
      <w:r w:rsidRPr="008143C7">
        <w:t>modeling</w:t>
      </w:r>
      <w:proofErr w:type="spellEnd"/>
      <w:r w:rsidRPr="008143C7">
        <w:t xml:space="preserve"> software mapping co-occurrence linkage structures.</w:t>
      </w:r>
    </w:p>
    <w:p w14:paraId="36B1ABA4" w14:textId="3EB349AA" w:rsidR="008143C7" w:rsidRPr="008143C7" w:rsidRDefault="008143C7" w:rsidP="008143C7">
      <w:pPr>
        <w:numPr>
          <w:ilvl w:val="0"/>
          <w:numId w:val="5"/>
        </w:numPr>
      </w:pPr>
      <w:r w:rsidRPr="008143C7">
        <w:rPr>
          <w:b/>
          <w:bCs/>
        </w:rPr>
        <w:t>Database(s):</w:t>
      </w:r>
      <w:r w:rsidRPr="008143C7">
        <w:t xml:space="preserve"> Post-flood physicochemical water metadata matrices (tracking parameters such as pH, electrical conductivity, dissolved oxygen, and localized land</w:t>
      </w:r>
      <w:r>
        <w:t xml:space="preserve"> </w:t>
      </w:r>
      <w:r w:rsidRPr="008143C7">
        <w:t>use indices).</w:t>
      </w:r>
    </w:p>
    <w:p w14:paraId="59128DEA" w14:textId="5F70EFA8" w:rsidR="008143C7" w:rsidRPr="008143C7" w:rsidRDefault="008143C7" w:rsidP="008143C7">
      <w:pPr>
        <w:numPr>
          <w:ilvl w:val="0"/>
          <w:numId w:val="5"/>
        </w:numPr>
      </w:pPr>
      <w:r w:rsidRPr="008143C7">
        <w:rPr>
          <w:b/>
          <w:bCs/>
        </w:rPr>
        <w:t>Normalization:</w:t>
      </w:r>
      <w:r w:rsidRPr="008143C7">
        <w:t xml:space="preserve"> Core filtering of sequencing counts imposing a minimum relative abundance prevalence threshold to suppress background </w:t>
      </w:r>
      <w:proofErr w:type="spellStart"/>
      <w:r w:rsidRPr="008143C7">
        <w:t>artifactual</w:t>
      </w:r>
      <w:proofErr w:type="spellEnd"/>
      <w:r w:rsidRPr="008143C7">
        <w:t xml:space="preserve"> nodes before edge</w:t>
      </w:r>
      <w:r>
        <w:t xml:space="preserve"> </w:t>
      </w:r>
      <w:r w:rsidRPr="008143C7">
        <w:t>weight layout generation.</w:t>
      </w:r>
    </w:p>
    <w:p w14:paraId="37DB33F5" w14:textId="77777777" w:rsidR="008143C7" w:rsidRPr="008143C7" w:rsidRDefault="008143C7" w:rsidP="008143C7">
      <w:pPr>
        <w:numPr>
          <w:ilvl w:val="0"/>
          <w:numId w:val="5"/>
        </w:numPr>
      </w:pPr>
      <w:r w:rsidRPr="008143C7">
        <w:rPr>
          <w:b/>
          <w:bCs/>
        </w:rPr>
        <w:t>Goal of the analysis:</w:t>
      </w:r>
      <w:r w:rsidRPr="008143C7">
        <w:t xml:space="preserve"> Model the precise ecological interactions between water chemistry, bacterial host communities, and surrounding ARG distribution arrays to identify primary environmental drivers of resistance selection.</w:t>
      </w:r>
    </w:p>
    <w:p w14:paraId="6F6511B2" w14:textId="592EB331" w:rsidR="008143C7" w:rsidRPr="008143C7" w:rsidRDefault="008143C7" w:rsidP="008143C7">
      <w:pPr>
        <w:numPr>
          <w:ilvl w:val="0"/>
          <w:numId w:val="5"/>
        </w:numPr>
      </w:pPr>
      <w:r w:rsidRPr="008143C7">
        <w:rPr>
          <w:b/>
          <w:bCs/>
        </w:rPr>
        <w:t>Key metrics or statistical approaches:</w:t>
      </w:r>
      <w:r w:rsidRPr="008143C7">
        <w:t xml:space="preserve"> Non</w:t>
      </w:r>
      <w:r>
        <w:t xml:space="preserve"> </w:t>
      </w:r>
      <w:r w:rsidRPr="008143C7">
        <w:t>parametric Spearman rank correlation matrices or Pearson network modularity scoring capturing host</w:t>
      </w:r>
      <w:r>
        <w:t xml:space="preserve"> </w:t>
      </w:r>
      <w:r w:rsidRPr="008143C7">
        <w:t>to</w:t>
      </w:r>
      <w:r>
        <w:t xml:space="preserve"> </w:t>
      </w:r>
      <w:r w:rsidRPr="008143C7">
        <w:t xml:space="preserve">ARG linkages; Procrustes analysis computing structural concordance between taxonomic bacteriome layout arrays and </w:t>
      </w:r>
      <w:r w:rsidRPr="008143C7">
        <w:lastRenderedPageBreak/>
        <w:t xml:space="preserve">absolute functional </w:t>
      </w:r>
      <w:proofErr w:type="spellStart"/>
      <w:r w:rsidRPr="008143C7">
        <w:t>resistome</w:t>
      </w:r>
      <w:proofErr w:type="spellEnd"/>
      <w:r w:rsidRPr="008143C7">
        <w:t xml:space="preserve"> configurations across high</w:t>
      </w:r>
      <w:r>
        <w:t xml:space="preserve"> </w:t>
      </w:r>
      <w:r w:rsidRPr="008143C7">
        <w:t>altitude and coastal flooded subsets.</w:t>
      </w:r>
    </w:p>
    <w:p w14:paraId="369025E9" w14:textId="77777777" w:rsidR="000C3267" w:rsidRDefault="000C3267"/>
    <w:sectPr w:rsidR="000C3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7CF9"/>
    <w:multiLevelType w:val="multilevel"/>
    <w:tmpl w:val="6ECC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45524"/>
    <w:multiLevelType w:val="multilevel"/>
    <w:tmpl w:val="31B4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B97846"/>
    <w:multiLevelType w:val="multilevel"/>
    <w:tmpl w:val="CF2A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1C78F9"/>
    <w:multiLevelType w:val="multilevel"/>
    <w:tmpl w:val="7072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901532"/>
    <w:multiLevelType w:val="multilevel"/>
    <w:tmpl w:val="AC32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370810">
    <w:abstractNumId w:val="3"/>
  </w:num>
  <w:num w:numId="2" w16cid:durableId="1026099281">
    <w:abstractNumId w:val="0"/>
  </w:num>
  <w:num w:numId="3" w16cid:durableId="1548755139">
    <w:abstractNumId w:val="2"/>
  </w:num>
  <w:num w:numId="4" w16cid:durableId="560022811">
    <w:abstractNumId w:val="1"/>
  </w:num>
  <w:num w:numId="5" w16cid:durableId="15408960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3C7"/>
    <w:rsid w:val="000C3267"/>
    <w:rsid w:val="00227B78"/>
    <w:rsid w:val="007A7287"/>
    <w:rsid w:val="008143C7"/>
    <w:rsid w:val="00850FB5"/>
    <w:rsid w:val="00B50D4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7A228"/>
  <w15:chartTrackingRefBased/>
  <w15:docId w15:val="{A65E27A8-48C7-48C0-B315-6071B1EAC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3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43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43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43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3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3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43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43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43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3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3C7"/>
    <w:rPr>
      <w:rFonts w:eastAsiaTheme="majorEastAsia" w:cstheme="majorBidi"/>
      <w:color w:val="272727" w:themeColor="text1" w:themeTint="D8"/>
    </w:rPr>
  </w:style>
  <w:style w:type="paragraph" w:styleId="Title">
    <w:name w:val="Title"/>
    <w:basedOn w:val="Normal"/>
    <w:next w:val="Normal"/>
    <w:link w:val="TitleChar"/>
    <w:uiPriority w:val="10"/>
    <w:qFormat/>
    <w:rsid w:val="00814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3C7"/>
    <w:pPr>
      <w:spacing w:before="160"/>
      <w:jc w:val="center"/>
    </w:pPr>
    <w:rPr>
      <w:i/>
      <w:iCs/>
      <w:color w:val="404040" w:themeColor="text1" w:themeTint="BF"/>
    </w:rPr>
  </w:style>
  <w:style w:type="character" w:customStyle="1" w:styleId="QuoteChar">
    <w:name w:val="Quote Char"/>
    <w:basedOn w:val="DefaultParagraphFont"/>
    <w:link w:val="Quote"/>
    <w:uiPriority w:val="29"/>
    <w:rsid w:val="008143C7"/>
    <w:rPr>
      <w:i/>
      <w:iCs/>
      <w:color w:val="404040" w:themeColor="text1" w:themeTint="BF"/>
    </w:rPr>
  </w:style>
  <w:style w:type="paragraph" w:styleId="ListParagraph">
    <w:name w:val="List Paragraph"/>
    <w:basedOn w:val="Normal"/>
    <w:uiPriority w:val="34"/>
    <w:qFormat/>
    <w:rsid w:val="008143C7"/>
    <w:pPr>
      <w:ind w:left="720"/>
      <w:contextualSpacing/>
    </w:pPr>
  </w:style>
  <w:style w:type="character" w:styleId="IntenseEmphasis">
    <w:name w:val="Intense Emphasis"/>
    <w:basedOn w:val="DefaultParagraphFont"/>
    <w:uiPriority w:val="21"/>
    <w:qFormat/>
    <w:rsid w:val="008143C7"/>
    <w:rPr>
      <w:i/>
      <w:iCs/>
      <w:color w:val="2F5496" w:themeColor="accent1" w:themeShade="BF"/>
    </w:rPr>
  </w:style>
  <w:style w:type="paragraph" w:styleId="IntenseQuote">
    <w:name w:val="Intense Quote"/>
    <w:basedOn w:val="Normal"/>
    <w:next w:val="Normal"/>
    <w:link w:val="IntenseQuoteChar"/>
    <w:uiPriority w:val="30"/>
    <w:qFormat/>
    <w:rsid w:val="008143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3C7"/>
    <w:rPr>
      <w:i/>
      <w:iCs/>
      <w:color w:val="2F5496" w:themeColor="accent1" w:themeShade="BF"/>
    </w:rPr>
  </w:style>
  <w:style w:type="character" w:styleId="IntenseReference">
    <w:name w:val="Intense Reference"/>
    <w:basedOn w:val="DefaultParagraphFont"/>
    <w:uiPriority w:val="32"/>
    <w:qFormat/>
    <w:rsid w:val="008143C7"/>
    <w:rPr>
      <w:b/>
      <w:bCs/>
      <w:smallCaps/>
      <w:color w:val="2F5496" w:themeColor="accent1" w:themeShade="BF"/>
      <w:spacing w:val="5"/>
    </w:rPr>
  </w:style>
  <w:style w:type="character" w:styleId="Hyperlink">
    <w:name w:val="Hyperlink"/>
    <w:basedOn w:val="DefaultParagraphFont"/>
    <w:uiPriority w:val="99"/>
    <w:unhideWhenUsed/>
    <w:rsid w:val="008143C7"/>
    <w:rPr>
      <w:color w:val="0563C1" w:themeColor="hyperlink"/>
      <w:u w:val="single"/>
    </w:rPr>
  </w:style>
  <w:style w:type="character" w:styleId="UnresolvedMention">
    <w:name w:val="Unresolved Mention"/>
    <w:basedOn w:val="DefaultParagraphFont"/>
    <w:uiPriority w:val="99"/>
    <w:semiHidden/>
    <w:unhideWhenUsed/>
    <w:rsid w:val="008143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doi.org/10.3390/microorganisms710047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862</Words>
  <Characters>4915</Characters>
  <Application>Microsoft Office Word</Application>
  <DocSecurity>0</DocSecurity>
  <Lines>40</Lines>
  <Paragraphs>11</Paragraphs>
  <ScaleCrop>false</ScaleCrop>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Joseph</dc:creator>
  <cp:keywords/>
  <dc:description/>
  <cp:lastModifiedBy>Melvin Joseph</cp:lastModifiedBy>
  <cp:revision>1</cp:revision>
  <dcterms:created xsi:type="dcterms:W3CDTF">2026-06-25T04:55:00Z</dcterms:created>
  <dcterms:modified xsi:type="dcterms:W3CDTF">2026-06-25T04:56:00Z</dcterms:modified>
</cp:coreProperties>
</file>