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FE48" w14:textId="77777777" w:rsidR="00F66AFC" w:rsidRPr="00F66AFC" w:rsidRDefault="00F66AFC" w:rsidP="00F66AFC">
      <w:pPr>
        <w:rPr>
          <w:b/>
          <w:bCs/>
          <w:sz w:val="36"/>
          <w:szCs w:val="36"/>
        </w:rPr>
      </w:pPr>
      <w:r w:rsidRPr="00F66AFC">
        <w:rPr>
          <w:b/>
          <w:bCs/>
          <w:sz w:val="36"/>
          <w:szCs w:val="36"/>
        </w:rPr>
        <w:t>Analysis Plan - SRP282530</w:t>
      </w:r>
    </w:p>
    <w:p w14:paraId="1EE7FCF4" w14:textId="77777777" w:rsidR="00F66AFC" w:rsidRPr="00F66AFC" w:rsidRDefault="00F66AFC" w:rsidP="00F66AFC">
      <w:r w:rsidRPr="00F66AFC">
        <w:rPr>
          <w:b/>
          <w:bCs/>
        </w:rPr>
        <w:t>Study Accession:</w:t>
      </w:r>
      <w:r w:rsidRPr="00F66AFC">
        <w:t xml:space="preserve"> SRP282530 (SRA </w:t>
      </w:r>
      <w:proofErr w:type="spellStart"/>
      <w:r w:rsidRPr="00F66AFC">
        <w:t>BioProject</w:t>
      </w:r>
      <w:proofErr w:type="spellEnd"/>
      <w:r w:rsidRPr="00F66AFC">
        <w:t xml:space="preserve"> PRJNA663717)</w:t>
      </w:r>
    </w:p>
    <w:p w14:paraId="44DFEC97" w14:textId="5A521D7B" w:rsidR="00F66AFC" w:rsidRPr="00F66AFC" w:rsidRDefault="00F66AFC" w:rsidP="00F66AFC">
      <w:r w:rsidRPr="00F66AFC">
        <w:rPr>
          <w:b/>
          <w:bCs/>
        </w:rPr>
        <w:t>Study Type:</w:t>
      </w:r>
      <w:r w:rsidRPr="00F66AFC">
        <w:t xml:space="preserve"> Human gut microbiomics, xenobiotic biotransformation, and multi</w:t>
      </w:r>
      <w:r>
        <w:t xml:space="preserve"> </w:t>
      </w:r>
      <w:proofErr w:type="spellStart"/>
      <w:r w:rsidRPr="00F66AFC">
        <w:t>omic</w:t>
      </w:r>
      <w:proofErr w:type="spellEnd"/>
      <w:r w:rsidRPr="00F66AFC">
        <w:t xml:space="preserve"> metabolic fingerprinting</w:t>
      </w:r>
    </w:p>
    <w:p w14:paraId="5D842F6D" w14:textId="77777777" w:rsidR="00F66AFC" w:rsidRPr="00F66AFC" w:rsidRDefault="00F66AFC" w:rsidP="00F66AFC">
      <w:r w:rsidRPr="00F66AFC">
        <w:rPr>
          <w:b/>
          <w:bCs/>
        </w:rPr>
        <w:t>Sample Type:</w:t>
      </w:r>
      <w:r w:rsidRPr="00F66AFC">
        <w:t xml:space="preserve"> Human </w:t>
      </w:r>
      <w:proofErr w:type="spellStart"/>
      <w:r w:rsidRPr="00F66AFC">
        <w:t>fecal</w:t>
      </w:r>
      <w:proofErr w:type="spellEnd"/>
      <w:r w:rsidRPr="00F66AFC">
        <w:t>/stool specimens collected from healthy adult male individuals (aged 29–36 years)</w:t>
      </w:r>
    </w:p>
    <w:p w14:paraId="331C48E2" w14:textId="77777777" w:rsidR="00F66AFC" w:rsidRPr="00F66AFC" w:rsidRDefault="00F66AFC" w:rsidP="00F66AFC">
      <w:r w:rsidRPr="00F66AFC">
        <w:rPr>
          <w:b/>
          <w:bCs/>
        </w:rPr>
        <w:t>Associated Publications / DOIs:</w:t>
      </w:r>
    </w:p>
    <w:p w14:paraId="5F24C93C" w14:textId="77777777" w:rsidR="00F66AFC" w:rsidRPr="00F66AFC" w:rsidRDefault="00F66AFC" w:rsidP="00F66AFC">
      <w:pPr>
        <w:numPr>
          <w:ilvl w:val="0"/>
          <w:numId w:val="1"/>
        </w:numPr>
      </w:pPr>
      <w:r w:rsidRPr="00F66AFC">
        <w:t>Yadav et al., 2021 (</w:t>
      </w:r>
      <w:r w:rsidRPr="00F66AFC">
        <w:rPr>
          <w:i/>
          <w:iCs/>
        </w:rPr>
        <w:t>Sci. Rep.</w:t>
      </w:r>
      <w:r w:rsidRPr="00F66AFC">
        <w:t xml:space="preserve">): </w:t>
      </w:r>
      <w:hyperlink r:id="rId5" w:tgtFrame="_blank" w:history="1">
        <w:r w:rsidRPr="00F66AFC">
          <w:rPr>
            <w:rStyle w:val="Hyperlink"/>
          </w:rPr>
          <w:t>https://doi.org/10.1038/s41598-021-84964-6</w:t>
        </w:r>
      </w:hyperlink>
    </w:p>
    <w:p w14:paraId="2148F969" w14:textId="628844DB" w:rsidR="00F66AFC" w:rsidRPr="00F66AFC" w:rsidRDefault="00F66AFC" w:rsidP="00F66AFC">
      <w:r w:rsidRPr="00F66AFC">
        <w:rPr>
          <w:b/>
          <w:bCs/>
        </w:rPr>
        <w:t>Study Design:</w:t>
      </w:r>
      <w:r w:rsidRPr="00F66AFC">
        <w:t xml:space="preserve"> Multi-</w:t>
      </w:r>
      <w:proofErr w:type="spellStart"/>
      <w:r w:rsidRPr="00F66AFC">
        <w:t>omic</w:t>
      </w:r>
      <w:proofErr w:type="spellEnd"/>
      <w:r w:rsidRPr="00F66AFC">
        <w:t xml:space="preserve"> (shotgun metagenomics coupled with untargeted liquid chromatography-mass spectrometry, LC-MS) investigation deciphering the structural composition, genetic layout, and active functional machinery involved in benzoate catabolism within the human gut microbiome. While sodium benzoate is widely introduced as a safe antimicrobial food preservative or enters via dietary polyphenol breakdown, its biotransformation has historically been evaluated strictly from a host hepatic perspective (glycine conjugation to hippuric acid). </w:t>
      </w:r>
      <w:proofErr w:type="spellStart"/>
      <w:r w:rsidRPr="00F66AFC">
        <w:t>Fecal</w:t>
      </w:r>
      <w:proofErr w:type="spellEnd"/>
      <w:r w:rsidRPr="00F66AFC">
        <w:t xml:space="preserve"> genomic DNA was extracted and processed via paired</w:t>
      </w:r>
      <w:r>
        <w:t xml:space="preserve"> </w:t>
      </w:r>
      <w:r w:rsidRPr="00F66AFC">
        <w:t>end high</w:t>
      </w:r>
      <w:r>
        <w:t xml:space="preserve"> </w:t>
      </w:r>
      <w:r w:rsidRPr="00F66AFC">
        <w:t xml:space="preserve">throughput sequencing on the Illumina </w:t>
      </w:r>
      <w:proofErr w:type="spellStart"/>
      <w:r w:rsidRPr="00F66AFC">
        <w:t>MiSeq</w:t>
      </w:r>
      <w:proofErr w:type="spellEnd"/>
      <w:r w:rsidRPr="00F66AFC">
        <w:t xml:space="preserve"> platform. The computational and experimental workflow maps candidate aerobic and anaerobic aromatic degradation networks, followed by </w:t>
      </w:r>
      <w:r w:rsidRPr="00F66AFC">
        <w:rPr>
          <w:i/>
          <w:iCs/>
        </w:rPr>
        <w:t>in vitro</w:t>
      </w:r>
      <w:r w:rsidRPr="00F66AFC">
        <w:t xml:space="preserve"> anaerobic microbial pellet functional assays to monitor real-time benzoate consumption and intermediate metabolite generation.</w:t>
      </w:r>
    </w:p>
    <w:p w14:paraId="0794F93B" w14:textId="77777777" w:rsidR="00F66AFC" w:rsidRPr="00F66AFC" w:rsidRDefault="00F66AFC" w:rsidP="00F66AFC">
      <w:pPr>
        <w:rPr>
          <w:b/>
          <w:bCs/>
        </w:rPr>
      </w:pPr>
      <w:r w:rsidRPr="00F66AFC">
        <w:rPr>
          <w:b/>
          <w:bCs/>
        </w:rPr>
        <w:t>Preprocessing &amp; Metagenomic Sequence Annotation</w:t>
      </w:r>
    </w:p>
    <w:p w14:paraId="7929F5DE" w14:textId="77777777" w:rsidR="00F66AFC" w:rsidRPr="00F66AFC" w:rsidRDefault="00F66AFC" w:rsidP="00F66AFC">
      <w:pPr>
        <w:numPr>
          <w:ilvl w:val="0"/>
          <w:numId w:val="2"/>
        </w:numPr>
      </w:pPr>
      <w:r w:rsidRPr="00F66AFC">
        <w:rPr>
          <w:b/>
          <w:bCs/>
        </w:rPr>
        <w:t>Tool(s):</w:t>
      </w:r>
      <w:r w:rsidRPr="00F66AFC">
        <w:t xml:space="preserve"> Metagenome Rapid Annotation using Subsystem Technology (MG-RAST) server (v4.0) for automated quality filtration, denoising, and normalization; </w:t>
      </w:r>
      <w:proofErr w:type="spellStart"/>
      <w:r w:rsidRPr="00F66AFC">
        <w:t>FragGeneScan</w:t>
      </w:r>
      <w:proofErr w:type="spellEnd"/>
      <w:r w:rsidRPr="00F66AFC">
        <w:t xml:space="preserve"> for </w:t>
      </w:r>
      <w:r w:rsidRPr="00F66AFC">
        <w:rPr>
          <w:i/>
          <w:iCs/>
        </w:rPr>
        <w:t>ab-initio</w:t>
      </w:r>
      <w:r w:rsidRPr="00F66AFC">
        <w:t xml:space="preserve"> open reading frame (ORF) and protein-coding gene prediction from short reads.</w:t>
      </w:r>
    </w:p>
    <w:p w14:paraId="59CA30A5" w14:textId="77777777" w:rsidR="00F66AFC" w:rsidRPr="00F66AFC" w:rsidRDefault="00F66AFC" w:rsidP="00F66AFC">
      <w:pPr>
        <w:numPr>
          <w:ilvl w:val="0"/>
          <w:numId w:val="2"/>
        </w:numPr>
      </w:pPr>
      <w:r w:rsidRPr="00F66AFC">
        <w:rPr>
          <w:b/>
          <w:bCs/>
        </w:rPr>
        <w:t>Database(s):</w:t>
      </w:r>
      <w:r w:rsidRPr="00F66AFC">
        <w:t xml:space="preserve"> Ribosomal Database Project (RDP) for rRNA tracking; M5nr non-redundant protein database; NCBI </w:t>
      </w:r>
      <w:proofErr w:type="spellStart"/>
      <w:r w:rsidRPr="00F66AFC">
        <w:t>RefSeq</w:t>
      </w:r>
      <w:proofErr w:type="spellEnd"/>
      <w:r w:rsidRPr="00F66AFC">
        <w:t>; SEED Subsystems database.</w:t>
      </w:r>
    </w:p>
    <w:p w14:paraId="3CB91278" w14:textId="2566C6C3" w:rsidR="00F66AFC" w:rsidRPr="00F66AFC" w:rsidRDefault="00F66AFC" w:rsidP="00F66AFC">
      <w:pPr>
        <w:numPr>
          <w:ilvl w:val="0"/>
          <w:numId w:val="2"/>
        </w:numPr>
      </w:pPr>
      <w:r w:rsidRPr="00F66AFC">
        <w:rPr>
          <w:b/>
          <w:bCs/>
        </w:rPr>
        <w:t>Normalization:</w:t>
      </w:r>
      <w:r w:rsidRPr="00F66AFC">
        <w:t xml:space="preserve"> Execution of automated MG-RAST sequence pre-filtering to eliminate technical artifacts, low</w:t>
      </w:r>
      <w:r>
        <w:t xml:space="preserve"> </w:t>
      </w:r>
      <w:r w:rsidRPr="00F66AFC">
        <w:t xml:space="preserve">quality adapter fragments, and host genomic contamination; sequence matching thresholds restricted to strict </w:t>
      </w:r>
      <w:proofErr w:type="spellStart"/>
      <w:r w:rsidRPr="00F66AFC">
        <w:t>orthology</w:t>
      </w:r>
      <w:proofErr w:type="spellEnd"/>
      <w:r w:rsidRPr="00F66AFC">
        <w:t xml:space="preserve"> constraints (E-value &lt; 10</w:t>
      </w:r>
      <w:r w:rsidRPr="00F66AFC">
        <w:rPr>
          <w:vertAlign w:val="superscript"/>
        </w:rPr>
        <w:t>-5</w:t>
      </w:r>
      <w:r w:rsidRPr="00F66AFC">
        <w:t xml:space="preserve">, minimum alignment identity </w:t>
      </w:r>
      <w:r>
        <w:t>&gt;</w:t>
      </w:r>
      <w:r w:rsidRPr="00F66AFC">
        <w:t>60%).</w:t>
      </w:r>
    </w:p>
    <w:p w14:paraId="230647FB" w14:textId="77777777" w:rsidR="00F66AFC" w:rsidRPr="00F66AFC" w:rsidRDefault="00F66AFC" w:rsidP="00F66AFC">
      <w:pPr>
        <w:numPr>
          <w:ilvl w:val="0"/>
          <w:numId w:val="2"/>
        </w:numPr>
      </w:pPr>
      <w:r w:rsidRPr="00F66AFC">
        <w:rPr>
          <w:b/>
          <w:bCs/>
        </w:rPr>
        <w:t>Goal of the analysis:</w:t>
      </w:r>
      <w:r w:rsidRPr="00F66AFC">
        <w:t xml:space="preserve"> Clean complex </w:t>
      </w:r>
      <w:proofErr w:type="spellStart"/>
      <w:r w:rsidRPr="00F66AFC">
        <w:t>fecal</w:t>
      </w:r>
      <w:proofErr w:type="spellEnd"/>
      <w:r w:rsidRPr="00F66AFC">
        <w:t xml:space="preserve"> high-throughput short reads, isolate non-redundant coding sequence tags, and map them to functional pathways to quantify the general baseline metabolic blueprint of the gut microbiome.</w:t>
      </w:r>
    </w:p>
    <w:p w14:paraId="43043F7A" w14:textId="76C79CCA" w:rsidR="00F66AFC" w:rsidRPr="00F66AFC" w:rsidRDefault="00F66AFC" w:rsidP="00F66AFC">
      <w:pPr>
        <w:numPr>
          <w:ilvl w:val="0"/>
          <w:numId w:val="2"/>
        </w:numPr>
      </w:pPr>
      <w:r w:rsidRPr="00F66AFC">
        <w:rPr>
          <w:b/>
          <w:bCs/>
        </w:rPr>
        <w:t>Key metrics or statistical approaches:</w:t>
      </w:r>
      <w:r w:rsidRPr="00F66AFC">
        <w:t xml:space="preserve"> Generation of 40.27 million raw sequence reads </w:t>
      </w:r>
      <w:proofErr w:type="spellStart"/>
      <w:r w:rsidRPr="00F66AFC">
        <w:t>totaling</w:t>
      </w:r>
      <w:proofErr w:type="spellEnd"/>
      <w:r w:rsidRPr="00F66AFC">
        <w:t xml:space="preserve"> 12.06 Gb (300</w:t>
      </w:r>
      <w:r>
        <w:t xml:space="preserve"> </w:t>
      </w:r>
      <w:r w:rsidRPr="00F66AFC">
        <w:t>bp chemistry). Identifies that 56.86% of sequences map to predicted proteins with known functions, while 43.13% represent unknown or uncharacterized drafts. Subsystem-based indexing parses functional allocations, demonstrating that over half (52.91%) of the binned proteomic features govern general cellular metabolism (carbohydrate, protein, amino acid, and nucleic acid processing cascades).</w:t>
      </w:r>
    </w:p>
    <w:p w14:paraId="6A1EA353" w14:textId="77777777" w:rsidR="00F66AFC" w:rsidRDefault="00F66AFC" w:rsidP="00F66AFC">
      <w:pPr>
        <w:rPr>
          <w:b/>
          <w:bCs/>
        </w:rPr>
      </w:pPr>
    </w:p>
    <w:p w14:paraId="44C51D9B" w14:textId="77777777" w:rsidR="00F66AFC" w:rsidRDefault="00F66AFC" w:rsidP="00F66AFC">
      <w:pPr>
        <w:rPr>
          <w:b/>
          <w:bCs/>
        </w:rPr>
      </w:pPr>
    </w:p>
    <w:p w14:paraId="1503F640" w14:textId="346C960C" w:rsidR="00F66AFC" w:rsidRPr="00F66AFC" w:rsidRDefault="00F66AFC" w:rsidP="00F66AFC">
      <w:pPr>
        <w:rPr>
          <w:b/>
          <w:bCs/>
        </w:rPr>
      </w:pPr>
      <w:r w:rsidRPr="00F66AFC">
        <w:rPr>
          <w:b/>
          <w:bCs/>
        </w:rPr>
        <w:lastRenderedPageBreak/>
        <w:t>Core Microbiome Taxonomy &amp; Subsystem Profiling</w:t>
      </w:r>
    </w:p>
    <w:p w14:paraId="540AC14D" w14:textId="77777777" w:rsidR="00F66AFC" w:rsidRPr="00F66AFC" w:rsidRDefault="00F66AFC" w:rsidP="00F66AFC">
      <w:pPr>
        <w:numPr>
          <w:ilvl w:val="0"/>
          <w:numId w:val="3"/>
        </w:numPr>
      </w:pPr>
      <w:r w:rsidRPr="00F66AFC">
        <w:rPr>
          <w:b/>
          <w:bCs/>
        </w:rPr>
        <w:t>Tool(s):</w:t>
      </w:r>
      <w:r w:rsidRPr="00F66AFC">
        <w:t xml:space="preserve"> MG-RAST LCA (Lowest Common Ancestor) consensus algorithms; taxonomic abundance matrix builders; PAST (Paleontological Statistics) software package for alpha/beta diversity testing; Heatmapper servers for multivariate visual matrices.</w:t>
      </w:r>
    </w:p>
    <w:p w14:paraId="3BA68ED3" w14:textId="77777777" w:rsidR="00F66AFC" w:rsidRPr="00F66AFC" w:rsidRDefault="00F66AFC" w:rsidP="00F66AFC">
      <w:pPr>
        <w:numPr>
          <w:ilvl w:val="0"/>
          <w:numId w:val="3"/>
        </w:numPr>
      </w:pPr>
      <w:r w:rsidRPr="00F66AFC">
        <w:rPr>
          <w:b/>
          <w:bCs/>
        </w:rPr>
        <w:t>Database(s):</w:t>
      </w:r>
      <w:r w:rsidRPr="00F66AFC">
        <w:t xml:space="preserve"> M5NR taxonomy index collections; NCBI Taxonomy database.</w:t>
      </w:r>
    </w:p>
    <w:p w14:paraId="7FC2050C" w14:textId="6FEFC7C3" w:rsidR="00F66AFC" w:rsidRPr="00F66AFC" w:rsidRDefault="00F66AFC" w:rsidP="00F66AFC">
      <w:pPr>
        <w:numPr>
          <w:ilvl w:val="0"/>
          <w:numId w:val="3"/>
        </w:numPr>
      </w:pPr>
      <w:r w:rsidRPr="00F66AFC">
        <w:rPr>
          <w:b/>
          <w:bCs/>
        </w:rPr>
        <w:t>Normalization:</w:t>
      </w:r>
      <w:r w:rsidRPr="00F66AFC">
        <w:t xml:space="preserve"> Metagenomic read counts converted to mean relative abundance percentage indices (</w:t>
      </w:r>
      <w:r>
        <w:rPr>
          <w:rFonts w:cstheme="minorHAnsi"/>
        </w:rPr>
        <w:t>±</w:t>
      </w:r>
      <w:r w:rsidRPr="00F66AFC">
        <w:t>SD) across distinct taxonomy tiers to manage variations in sample sequencing depth.</w:t>
      </w:r>
    </w:p>
    <w:p w14:paraId="514899BD" w14:textId="77777777" w:rsidR="00F66AFC" w:rsidRPr="00F66AFC" w:rsidRDefault="00F66AFC" w:rsidP="00F66AFC">
      <w:pPr>
        <w:numPr>
          <w:ilvl w:val="0"/>
          <w:numId w:val="3"/>
        </w:numPr>
      </w:pPr>
      <w:r w:rsidRPr="00F66AFC">
        <w:rPr>
          <w:b/>
          <w:bCs/>
        </w:rPr>
        <w:t>Goal of the analysis:</w:t>
      </w:r>
      <w:r w:rsidRPr="00F66AFC">
        <w:t xml:space="preserve"> Profile the primary core bacteriome and domain structures of healthy subjects using synchronized rRNA and proteomic feature alignments.</w:t>
      </w:r>
    </w:p>
    <w:p w14:paraId="693ED594" w14:textId="33C686BC" w:rsidR="00F66AFC" w:rsidRPr="00F66AFC" w:rsidRDefault="00F66AFC" w:rsidP="00F66AFC">
      <w:pPr>
        <w:numPr>
          <w:ilvl w:val="0"/>
          <w:numId w:val="3"/>
        </w:numPr>
      </w:pPr>
      <w:r w:rsidRPr="00F66AFC">
        <w:rPr>
          <w:b/>
          <w:bCs/>
        </w:rPr>
        <w:t>Key metrics or statistical approaches:</w:t>
      </w:r>
      <w:r w:rsidRPr="00F66AFC">
        <w:t xml:space="preserve"> Alignment of ribosomal features maps overwhelmingly to the Eubacterial clade (98.41 </w:t>
      </w:r>
      <w:r>
        <w:rPr>
          <w:rFonts w:cstheme="minorHAnsi"/>
        </w:rPr>
        <w:t>±</w:t>
      </w:r>
      <w:r w:rsidRPr="00F66AFC">
        <w:t xml:space="preserve"> 1.18%), mirrored by protein feature distributions </w:t>
      </w:r>
      <w:proofErr w:type="gramStart"/>
      <w:r w:rsidRPr="00F66AFC">
        <w:t xml:space="preserve">assigning </w:t>
      </w:r>
      <w:r>
        <w:t xml:space="preserve"> </w:t>
      </w:r>
      <w:r w:rsidRPr="00F66AFC">
        <w:t>99</w:t>
      </w:r>
      <w:proofErr w:type="gramEnd"/>
      <w:r w:rsidRPr="00F66AFC">
        <w:t>.22</w:t>
      </w:r>
      <w:r>
        <w:rPr>
          <w:rFonts w:cstheme="minorHAnsi"/>
        </w:rPr>
        <w:t>±</w:t>
      </w:r>
      <w:r w:rsidRPr="00F66AFC">
        <w:t xml:space="preserve"> 0.51% to Bacteria, 0.48</w:t>
      </w:r>
      <w:r>
        <w:rPr>
          <w:rFonts w:cstheme="minorHAnsi"/>
        </w:rPr>
        <w:t>±</w:t>
      </w:r>
      <w:r w:rsidRPr="00F66AFC">
        <w:t xml:space="preserve"> 0.35% to Archaea, and 0.23 </w:t>
      </w:r>
      <w:r>
        <w:rPr>
          <w:rFonts w:cstheme="minorHAnsi"/>
        </w:rPr>
        <w:t>±</w:t>
      </w:r>
      <w:r>
        <w:t xml:space="preserve"> </w:t>
      </w:r>
      <w:r w:rsidRPr="00F66AFC">
        <w:t xml:space="preserve">0.13% to </w:t>
      </w:r>
      <w:proofErr w:type="spellStart"/>
      <w:r w:rsidRPr="00F66AFC">
        <w:t>Eukaryota</w:t>
      </w:r>
      <w:proofErr w:type="spellEnd"/>
      <w:r w:rsidRPr="00F66AFC">
        <w:t xml:space="preserve">. Core species profiling highlights the uniform dominance of the phylum </w:t>
      </w:r>
      <w:r w:rsidRPr="00F66AFC">
        <w:rPr>
          <w:i/>
          <w:iCs/>
        </w:rPr>
        <w:t>Bacteroidetes</w:t>
      </w:r>
      <w:r w:rsidRPr="00F66AFC">
        <w:t xml:space="preserve">, followed closely by </w:t>
      </w:r>
      <w:r w:rsidRPr="00F66AFC">
        <w:rPr>
          <w:i/>
          <w:iCs/>
        </w:rPr>
        <w:t>Firmicutes</w:t>
      </w:r>
      <w:r w:rsidRPr="00F66AFC">
        <w:t xml:space="preserve">, </w:t>
      </w:r>
      <w:r w:rsidRPr="00F66AFC">
        <w:rPr>
          <w:i/>
          <w:iCs/>
        </w:rPr>
        <w:t>Actinobacteria</w:t>
      </w:r>
      <w:r w:rsidRPr="00F66AFC">
        <w:t xml:space="preserve">, and </w:t>
      </w:r>
      <w:r w:rsidRPr="00F66AFC">
        <w:rPr>
          <w:i/>
          <w:iCs/>
        </w:rPr>
        <w:t>Proteobacteria</w:t>
      </w:r>
      <w:r w:rsidRPr="00F66AFC">
        <w:t>.</w:t>
      </w:r>
    </w:p>
    <w:p w14:paraId="2A947A84" w14:textId="77777777" w:rsidR="00F66AFC" w:rsidRPr="00F66AFC" w:rsidRDefault="00F66AFC" w:rsidP="00F66AFC">
      <w:pPr>
        <w:rPr>
          <w:b/>
          <w:bCs/>
        </w:rPr>
      </w:pPr>
      <w:r w:rsidRPr="00F66AFC">
        <w:rPr>
          <w:b/>
          <w:bCs/>
        </w:rPr>
        <w:t>Benzoate Catabolic Pathway Reconstruction</w:t>
      </w:r>
    </w:p>
    <w:p w14:paraId="1D2CD513" w14:textId="5E1BAEA2" w:rsidR="00F66AFC" w:rsidRPr="00F66AFC" w:rsidRDefault="00F66AFC" w:rsidP="00F66AFC">
      <w:pPr>
        <w:numPr>
          <w:ilvl w:val="0"/>
          <w:numId w:val="4"/>
        </w:numPr>
      </w:pPr>
      <w:r w:rsidRPr="00F66AFC">
        <w:rPr>
          <w:b/>
          <w:bCs/>
        </w:rPr>
        <w:t>Tool(s):</w:t>
      </w:r>
      <w:r w:rsidRPr="00F66AFC">
        <w:t xml:space="preserve"> Subsystem database mining scripts; Kaiju web server executing a protein-level translation matching strategy against non</w:t>
      </w:r>
      <w:r>
        <w:t>-</w:t>
      </w:r>
      <w:r w:rsidRPr="00F66AFC">
        <w:t>redundant records; manual genomic context curation.</w:t>
      </w:r>
    </w:p>
    <w:p w14:paraId="5BF6F971" w14:textId="77777777" w:rsidR="00F66AFC" w:rsidRPr="00F66AFC" w:rsidRDefault="00F66AFC" w:rsidP="00F66AFC">
      <w:pPr>
        <w:numPr>
          <w:ilvl w:val="0"/>
          <w:numId w:val="4"/>
        </w:numPr>
      </w:pPr>
      <w:r w:rsidRPr="00F66AFC">
        <w:rPr>
          <w:b/>
          <w:bCs/>
        </w:rPr>
        <w:t>Database(s):</w:t>
      </w:r>
      <w:r w:rsidRPr="00F66AFC">
        <w:t xml:space="preserve"> SEED Subsystems database; NCBI non-redundant (nr) protein repository.</w:t>
      </w:r>
    </w:p>
    <w:p w14:paraId="2CCC3F17" w14:textId="21CBDC7F" w:rsidR="00F66AFC" w:rsidRPr="00F66AFC" w:rsidRDefault="00F66AFC" w:rsidP="00F66AFC">
      <w:pPr>
        <w:numPr>
          <w:ilvl w:val="0"/>
          <w:numId w:val="4"/>
        </w:numPr>
      </w:pPr>
      <w:r w:rsidRPr="00F66AFC">
        <w:rPr>
          <w:b/>
          <w:bCs/>
        </w:rPr>
        <w:t>Normalization:</w:t>
      </w:r>
      <w:r w:rsidRPr="00F66AFC">
        <w:t xml:space="preserve"> Extracted target functional sequence abundances length</w:t>
      </w:r>
      <w:r>
        <w:t xml:space="preserve"> </w:t>
      </w:r>
      <w:r w:rsidRPr="00F66AFC">
        <w:t>normalized and expressed as positive hit counts or mapped relative percentage loads across competing metabolic configurations.</w:t>
      </w:r>
    </w:p>
    <w:p w14:paraId="329D236F" w14:textId="77777777" w:rsidR="00F66AFC" w:rsidRPr="00F66AFC" w:rsidRDefault="00F66AFC" w:rsidP="00F66AFC">
      <w:pPr>
        <w:numPr>
          <w:ilvl w:val="0"/>
          <w:numId w:val="4"/>
        </w:numPr>
      </w:pPr>
      <w:r w:rsidRPr="00F66AFC">
        <w:rPr>
          <w:b/>
          <w:bCs/>
        </w:rPr>
        <w:t>Goal of the analysis:</w:t>
      </w:r>
      <w:r w:rsidRPr="00F66AFC">
        <w:t xml:space="preserve"> Inventory the total genetic potential for benzoate breakdown within the gut metagenome, explicitly mapping out the functional genes that form the aerobic vs. anaerobic degradation pathways.</w:t>
      </w:r>
    </w:p>
    <w:p w14:paraId="51651724" w14:textId="0CAB3116" w:rsidR="00F66AFC" w:rsidRPr="00F66AFC" w:rsidRDefault="00F66AFC" w:rsidP="00F66AFC">
      <w:pPr>
        <w:numPr>
          <w:ilvl w:val="0"/>
          <w:numId w:val="4"/>
        </w:numPr>
      </w:pPr>
      <w:r w:rsidRPr="00F66AFC">
        <w:rPr>
          <w:b/>
          <w:bCs/>
        </w:rPr>
        <w:t>Key metrics or statistical approaches:</w:t>
      </w:r>
      <w:r w:rsidRPr="00F66AFC">
        <w:t xml:space="preserve"> * </w:t>
      </w:r>
      <w:r w:rsidRPr="00F66AFC">
        <w:rPr>
          <w:i/>
          <w:iCs/>
        </w:rPr>
        <w:t>Anaerobic Architecture:</w:t>
      </w:r>
      <w:r w:rsidRPr="00F66AFC">
        <w:t xml:space="preserve"> Discovery of core genes mapping to the multi-subunit benzoyl-CoA reductase complex</w:t>
      </w:r>
      <w:r>
        <w:t xml:space="preserve"> </w:t>
      </w:r>
      <w:r w:rsidRPr="00F66AFC">
        <w:t xml:space="preserve">including subunits </w:t>
      </w:r>
      <w:proofErr w:type="spellStart"/>
      <w:r w:rsidRPr="00F66AFC">
        <w:t>BadD</w:t>
      </w:r>
      <w:proofErr w:type="spellEnd"/>
      <w:r w:rsidRPr="00F66AFC">
        <w:t xml:space="preserve"> (n=18), </w:t>
      </w:r>
      <w:proofErr w:type="spellStart"/>
      <w:r w:rsidRPr="00F66AFC">
        <w:t>BadE</w:t>
      </w:r>
      <w:proofErr w:type="spellEnd"/>
      <w:r w:rsidRPr="00F66AFC">
        <w:t xml:space="preserve"> (n=88), </w:t>
      </w:r>
      <w:proofErr w:type="spellStart"/>
      <w:r w:rsidRPr="00F66AFC">
        <w:t>BadF</w:t>
      </w:r>
      <w:proofErr w:type="spellEnd"/>
      <w:r w:rsidRPr="00F66AFC">
        <w:t xml:space="preserve"> (n=15), </w:t>
      </w:r>
      <w:proofErr w:type="spellStart"/>
      <w:r w:rsidRPr="00F66AFC">
        <w:t>BadG</w:t>
      </w:r>
      <w:proofErr w:type="spellEnd"/>
      <w:r w:rsidRPr="00F66AFC">
        <w:t xml:space="preserve"> (n=386), and </w:t>
      </w:r>
      <w:proofErr w:type="spellStart"/>
      <w:r w:rsidRPr="00F66AFC">
        <w:t>BadH</w:t>
      </w:r>
      <w:proofErr w:type="spellEnd"/>
      <w:r w:rsidRPr="00F66AFC">
        <w:t xml:space="preserve"> (n=11)</w:t>
      </w:r>
      <w:r>
        <w:t xml:space="preserve">, </w:t>
      </w:r>
      <w:r w:rsidRPr="00F66AFC">
        <w:t xml:space="preserve">which drive the upper </w:t>
      </w:r>
      <w:proofErr w:type="spellStart"/>
      <w:r w:rsidRPr="00F66AFC">
        <w:t>dearomatization</w:t>
      </w:r>
      <w:proofErr w:type="spellEnd"/>
      <w:r w:rsidRPr="00F66AFC">
        <w:t xml:space="preserve"> cascade. These are paired with lower pathway elements like glutaryl-CoA dehydrogenase (n=3) and acetyl-CoA acetyltransferase (n=115), phylogenetically affiliated with </w:t>
      </w:r>
      <w:r w:rsidRPr="00F66AFC">
        <w:rPr>
          <w:i/>
          <w:iCs/>
        </w:rPr>
        <w:t>Firmicutes</w:t>
      </w:r>
      <w:r w:rsidRPr="00F66AFC">
        <w:t xml:space="preserve"> (specifically </w:t>
      </w:r>
      <w:proofErr w:type="spellStart"/>
      <w:r w:rsidRPr="00F66AFC">
        <w:rPr>
          <w:i/>
          <w:iCs/>
        </w:rPr>
        <w:t>Ruminococcaceae</w:t>
      </w:r>
      <w:proofErr w:type="spellEnd"/>
      <w:r w:rsidRPr="00F66AFC">
        <w:t xml:space="preserve"> and </w:t>
      </w:r>
      <w:proofErr w:type="spellStart"/>
      <w:r w:rsidRPr="00F66AFC">
        <w:rPr>
          <w:i/>
          <w:iCs/>
        </w:rPr>
        <w:t>Lachnospiraceae</w:t>
      </w:r>
      <w:proofErr w:type="spellEnd"/>
      <w:r w:rsidRPr="00F66AFC">
        <w:t>).</w:t>
      </w:r>
    </w:p>
    <w:p w14:paraId="2E35944D" w14:textId="4D5D9449" w:rsidR="00F66AFC" w:rsidRPr="00F66AFC" w:rsidRDefault="00F66AFC" w:rsidP="00F66AFC">
      <w:pPr>
        <w:numPr>
          <w:ilvl w:val="1"/>
          <w:numId w:val="4"/>
        </w:numPr>
      </w:pPr>
      <w:r w:rsidRPr="00F66AFC">
        <w:rPr>
          <w:i/>
          <w:iCs/>
        </w:rPr>
        <w:t>Aerobic Architecture:</w:t>
      </w:r>
      <w:r w:rsidRPr="00F66AFC">
        <w:t xml:space="preserve"> Identification of uptake transporters for benzoate (BenK, n=26) and 4-hydroxybenzoate (</w:t>
      </w:r>
      <w:proofErr w:type="spellStart"/>
      <w:r w:rsidRPr="00F66AFC">
        <w:t>PcaK</w:t>
      </w:r>
      <w:proofErr w:type="spellEnd"/>
      <w:r w:rsidRPr="00F66AFC">
        <w:t xml:space="preserve">, n=15). Reconstructs the catechol-mediated </w:t>
      </w:r>
      <w:r w:rsidRPr="00F66AFC">
        <w:rPr>
          <w:i/>
          <w:iCs/>
        </w:rPr>
        <w:t>ortho</w:t>
      </w:r>
      <w:r w:rsidRPr="00F66AFC">
        <w:t xml:space="preserve">-cleavage pathway via </w:t>
      </w:r>
      <w:r w:rsidRPr="00F66AFC">
        <w:rPr>
          <w:i/>
          <w:iCs/>
        </w:rPr>
        <w:t>cat</w:t>
      </w:r>
      <w:r w:rsidRPr="00F66AFC">
        <w:t xml:space="preserve"> operon cascades (</w:t>
      </w:r>
      <w:proofErr w:type="spellStart"/>
      <w:r w:rsidRPr="00F66AFC">
        <w:rPr>
          <w:i/>
          <w:iCs/>
        </w:rPr>
        <w:t>catA</w:t>
      </w:r>
      <w:proofErr w:type="spellEnd"/>
      <w:r w:rsidRPr="00F66AFC">
        <w:t xml:space="preserve">, </w:t>
      </w:r>
      <w:proofErr w:type="spellStart"/>
      <w:r w:rsidRPr="00F66AFC">
        <w:rPr>
          <w:i/>
          <w:iCs/>
        </w:rPr>
        <w:t>catB</w:t>
      </w:r>
      <w:proofErr w:type="spellEnd"/>
      <w:r w:rsidRPr="00F66AFC">
        <w:t xml:space="preserve">, </w:t>
      </w:r>
      <w:proofErr w:type="spellStart"/>
      <w:r w:rsidRPr="00F66AFC">
        <w:rPr>
          <w:i/>
          <w:iCs/>
        </w:rPr>
        <w:t>catC</w:t>
      </w:r>
      <w:proofErr w:type="spellEnd"/>
      <w:r w:rsidRPr="00F66AFC">
        <w:t xml:space="preserve">) clustered inside </w:t>
      </w:r>
      <w:r w:rsidRPr="00F66AFC">
        <w:rPr>
          <w:i/>
          <w:iCs/>
        </w:rPr>
        <w:t>Bacteroidetes</w:t>
      </w:r>
      <w:r w:rsidRPr="00F66AFC">
        <w:t xml:space="preserve">, alongside the complete protocatechuate-mediated </w:t>
      </w:r>
      <w:r>
        <w:rPr>
          <w:rFonts w:cstheme="minorHAnsi"/>
        </w:rPr>
        <w:t>β</w:t>
      </w:r>
      <w:r w:rsidRPr="00F66AFC">
        <w:t>-ketoadipate pathway led by 4-carboxymuconolactone decarboxylase (</w:t>
      </w:r>
      <w:proofErr w:type="spellStart"/>
      <w:r w:rsidRPr="00F66AFC">
        <w:t>PcaC</w:t>
      </w:r>
      <w:proofErr w:type="spellEnd"/>
      <w:r w:rsidRPr="00F66AFC">
        <w:t>, n=553).</w:t>
      </w:r>
    </w:p>
    <w:p w14:paraId="79303989" w14:textId="77777777" w:rsidR="00F66AFC" w:rsidRDefault="00F66AFC" w:rsidP="00F66AFC">
      <w:pPr>
        <w:rPr>
          <w:b/>
          <w:bCs/>
        </w:rPr>
      </w:pPr>
    </w:p>
    <w:p w14:paraId="588707BE" w14:textId="590D9594" w:rsidR="00F66AFC" w:rsidRPr="00F66AFC" w:rsidRDefault="00F66AFC" w:rsidP="00F66AFC">
      <w:pPr>
        <w:rPr>
          <w:b/>
          <w:bCs/>
        </w:rPr>
      </w:pPr>
      <w:r w:rsidRPr="00F66AFC">
        <w:rPr>
          <w:b/>
          <w:bCs/>
        </w:rPr>
        <w:t>Global Population Comparison &amp; Metabolic Validation</w:t>
      </w:r>
    </w:p>
    <w:p w14:paraId="4F40DF96" w14:textId="3D91B8E9" w:rsidR="00F66AFC" w:rsidRPr="00F66AFC" w:rsidRDefault="00F66AFC" w:rsidP="00F66AFC">
      <w:pPr>
        <w:numPr>
          <w:ilvl w:val="0"/>
          <w:numId w:val="5"/>
        </w:numPr>
      </w:pPr>
      <w:r w:rsidRPr="00F66AFC">
        <w:rPr>
          <w:b/>
          <w:bCs/>
        </w:rPr>
        <w:lastRenderedPageBreak/>
        <w:t>Tool(s):</w:t>
      </w:r>
      <w:r w:rsidRPr="00F66AFC">
        <w:t xml:space="preserve"> PERMANOVA (Permutational Multivariate Analysis of Variance) for </w:t>
      </w:r>
      <w:proofErr w:type="spellStart"/>
      <w:r w:rsidRPr="00F66AFC">
        <w:t>non</w:t>
      </w:r>
      <w:r>
        <w:t xml:space="preserve"> </w:t>
      </w:r>
      <w:r w:rsidRPr="00F66AFC">
        <w:t>parametric</w:t>
      </w:r>
      <w:proofErr w:type="spellEnd"/>
      <w:r w:rsidRPr="00F66AFC">
        <w:t xml:space="preserve"> multi-factor variance testing; Principal Coordinate Analysis (</w:t>
      </w:r>
      <w:proofErr w:type="spellStart"/>
      <w:r w:rsidRPr="00F66AFC">
        <w:t>PCoA</w:t>
      </w:r>
      <w:proofErr w:type="spellEnd"/>
      <w:r w:rsidRPr="00F66AFC">
        <w:t xml:space="preserve">) coordinate mapping; </w:t>
      </w:r>
      <w:proofErr w:type="spellStart"/>
      <w:r w:rsidRPr="00F66AFC">
        <w:t>ProteoWizard</w:t>
      </w:r>
      <w:proofErr w:type="spellEnd"/>
      <w:r w:rsidRPr="00F66AFC">
        <w:t xml:space="preserve"> for mass spectrometry file format conversion (</w:t>
      </w:r>
      <w:proofErr w:type="spellStart"/>
      <w:r w:rsidRPr="00F66AFC">
        <w:t>mzML</w:t>
      </w:r>
      <w:proofErr w:type="spellEnd"/>
      <w:r w:rsidRPr="00F66AFC">
        <w:t>); XCMS running in the R software environment for chromatographic alignment and peak feature matching.</w:t>
      </w:r>
    </w:p>
    <w:p w14:paraId="06CE55FC" w14:textId="327ADDCF" w:rsidR="00F66AFC" w:rsidRPr="00F66AFC" w:rsidRDefault="00F66AFC" w:rsidP="00F66AFC">
      <w:pPr>
        <w:numPr>
          <w:ilvl w:val="0"/>
          <w:numId w:val="5"/>
        </w:numPr>
      </w:pPr>
      <w:r w:rsidRPr="00F66AFC">
        <w:rPr>
          <w:b/>
          <w:bCs/>
        </w:rPr>
        <w:t>Database(s):</w:t>
      </w:r>
      <w:r w:rsidRPr="00F66AFC">
        <w:t xml:space="preserve"> Publicly available human gut metagenomic datasets (n=</w:t>
      </w:r>
      <w:proofErr w:type="gramStart"/>
      <w:r w:rsidRPr="00F66AFC">
        <w:t>201</w:t>
      </w:r>
      <w:r>
        <w:t xml:space="preserve"> </w:t>
      </w:r>
      <w:r w:rsidRPr="00F66AFC">
        <w:t>)</w:t>
      </w:r>
      <w:proofErr w:type="gramEnd"/>
      <w:r w:rsidRPr="00F66AFC">
        <w:t xml:space="preserve"> covering distinct global populations (USA, Japan, Sweden, Venezuela, Malaysia, Malawi, Europe); </w:t>
      </w:r>
      <w:proofErr w:type="spellStart"/>
      <w:r w:rsidRPr="00F66AFC">
        <w:t>MetaboAnalystR</w:t>
      </w:r>
      <w:proofErr w:type="spellEnd"/>
      <w:r w:rsidRPr="00F66AFC">
        <w:t xml:space="preserve"> 2.0 framework for untargeted metabolite-to-pathway mapping.</w:t>
      </w:r>
    </w:p>
    <w:p w14:paraId="34C56BE1" w14:textId="38DE0C1D" w:rsidR="00F66AFC" w:rsidRPr="00F66AFC" w:rsidRDefault="00F66AFC" w:rsidP="00F66AFC">
      <w:pPr>
        <w:numPr>
          <w:ilvl w:val="0"/>
          <w:numId w:val="5"/>
        </w:numPr>
      </w:pPr>
      <w:r w:rsidRPr="00F66AFC">
        <w:rPr>
          <w:b/>
          <w:bCs/>
        </w:rPr>
        <w:t>Normalization:</w:t>
      </w:r>
      <w:r w:rsidRPr="00F66AFC">
        <w:t xml:space="preserve"> Metagenomic population variances </w:t>
      </w:r>
      <w:proofErr w:type="spellStart"/>
      <w:r w:rsidRPr="00F66AFC">
        <w:t>modeled</w:t>
      </w:r>
      <w:proofErr w:type="spellEnd"/>
      <w:r w:rsidRPr="00F66AFC">
        <w:t xml:space="preserve"> using global distance matrices; LC-MS metabolite profiling thresholds restricted to statistically significant variables exhibiting an adjusted threshold criteria of p &lt; 0.05.</w:t>
      </w:r>
    </w:p>
    <w:p w14:paraId="14C86D95" w14:textId="77777777" w:rsidR="00F66AFC" w:rsidRPr="00F66AFC" w:rsidRDefault="00F66AFC" w:rsidP="00F66AFC">
      <w:pPr>
        <w:numPr>
          <w:ilvl w:val="0"/>
          <w:numId w:val="5"/>
        </w:numPr>
      </w:pPr>
      <w:r w:rsidRPr="00F66AFC">
        <w:rPr>
          <w:b/>
          <w:bCs/>
        </w:rPr>
        <w:t>Goal of the analysis:</w:t>
      </w:r>
      <w:r w:rsidRPr="00F66AFC">
        <w:t xml:space="preserve"> Confirm the geographic conservation of benzoate catabolic pathways across globally diverse human groups and experimentally validate active metabolic degradation products.</w:t>
      </w:r>
    </w:p>
    <w:p w14:paraId="6820B49C" w14:textId="367246AD" w:rsidR="00F66AFC" w:rsidRPr="00F66AFC" w:rsidRDefault="00F66AFC" w:rsidP="00F66AFC">
      <w:pPr>
        <w:numPr>
          <w:ilvl w:val="0"/>
          <w:numId w:val="5"/>
        </w:numPr>
      </w:pPr>
      <w:r w:rsidRPr="00F66AFC">
        <w:rPr>
          <w:b/>
          <w:bCs/>
        </w:rPr>
        <w:t>Key metrics or statistical approaches:</w:t>
      </w:r>
      <w:r w:rsidRPr="00F66AFC">
        <w:t xml:space="preserve"> </w:t>
      </w:r>
      <w:proofErr w:type="spellStart"/>
      <w:r w:rsidRPr="00F66AFC">
        <w:t>PCoA</w:t>
      </w:r>
      <w:proofErr w:type="spellEnd"/>
      <w:r w:rsidRPr="00F66AFC">
        <w:t xml:space="preserve"> and PERMANOVA demonstrate that benzoate catabolic protein features are omnipresent across all 201 global human gut metagenomes, supporting a diet-driven evolutionary convergence. Experimental LC-MS tracking reveals that live gut microbial consortia completely degrade 5 mM sodium benzoate within 30 minutes. Mass spectra fingerprinting captures distinct intermediate signatures matching 4-hydroxybenzoate (m/z 216.95), protocatechuate (m/z 127.03), </w:t>
      </w:r>
      <w:proofErr w:type="spellStart"/>
      <w:r w:rsidRPr="00F66AFC">
        <w:t>carboxymuconolactone</w:t>
      </w:r>
      <w:proofErr w:type="spellEnd"/>
      <w:r w:rsidRPr="00F66AFC">
        <w:t xml:space="preserve"> (m/z 201.00), and 3-carboxy-</w:t>
      </w:r>
      <w:proofErr w:type="gramStart"/>
      <w:r w:rsidRPr="00F66AFC">
        <w:rPr>
          <w:i/>
          <w:iCs/>
        </w:rPr>
        <w:t>cis,cis</w:t>
      </w:r>
      <w:proofErr w:type="gramEnd"/>
      <w:r w:rsidRPr="00F66AFC">
        <w:t>-muconate (m/z 201.00). This formally proves that the oxygenase</w:t>
      </w:r>
      <w:r>
        <w:t xml:space="preserve"> </w:t>
      </w:r>
      <w:r w:rsidRPr="00F66AFC">
        <w:t xml:space="preserve">coupled protocatechuate branch of the aerobic </w:t>
      </w:r>
      <w:r>
        <w:rPr>
          <w:rFonts w:cstheme="minorHAnsi"/>
        </w:rPr>
        <w:t>β</w:t>
      </w:r>
      <w:r w:rsidRPr="00F66AFC">
        <w:t>-ketoadipate pathway is the actively expressed functional mechanism utilized by the human gut microbiome to catabolize food preservatives.</w:t>
      </w:r>
    </w:p>
    <w:p w14:paraId="0B53F33B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303"/>
    <w:multiLevelType w:val="multilevel"/>
    <w:tmpl w:val="08E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35D11"/>
    <w:multiLevelType w:val="multilevel"/>
    <w:tmpl w:val="2812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B7374"/>
    <w:multiLevelType w:val="multilevel"/>
    <w:tmpl w:val="0A3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6268A"/>
    <w:multiLevelType w:val="multilevel"/>
    <w:tmpl w:val="73A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96F76"/>
    <w:multiLevelType w:val="multilevel"/>
    <w:tmpl w:val="8BA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59779">
    <w:abstractNumId w:val="3"/>
  </w:num>
  <w:num w:numId="2" w16cid:durableId="1757633402">
    <w:abstractNumId w:val="1"/>
  </w:num>
  <w:num w:numId="3" w16cid:durableId="1980726768">
    <w:abstractNumId w:val="2"/>
  </w:num>
  <w:num w:numId="4" w16cid:durableId="1144783441">
    <w:abstractNumId w:val="4"/>
  </w:num>
  <w:num w:numId="5" w16cid:durableId="72255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FC"/>
    <w:rsid w:val="000C3267"/>
    <w:rsid w:val="00227B78"/>
    <w:rsid w:val="007A7287"/>
    <w:rsid w:val="00850FB5"/>
    <w:rsid w:val="00B15AD3"/>
    <w:rsid w:val="00F6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A5852"/>
  <w15:chartTrackingRefBased/>
  <w15:docId w15:val="{191975C3-D697-4EA4-9759-9B54904E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6A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A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38/s41598-021-84964-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1112</Words>
  <Characters>6341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2026-06-25T18:03:00Z</dcterms:created>
  <dcterms:modified xsi:type="dcterms:W3CDTF">2026-06-25T18:10:00Z</dcterms:modified>
</cp:coreProperties>
</file>