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94FB" w14:textId="5896A156" w:rsidR="00D60C45" w:rsidRPr="00D60C45" w:rsidRDefault="00D60C45" w:rsidP="00D60C45">
      <w:r w:rsidRPr="00D60C45">
        <w:rPr>
          <w:b/>
          <w:bCs/>
          <w:sz w:val="36"/>
          <w:szCs w:val="36"/>
        </w:rPr>
        <w:t xml:space="preserve">Analysis Plan - </w:t>
      </w:r>
      <w:r w:rsidR="007A5CCE" w:rsidRPr="007A5CCE">
        <w:rPr>
          <w:b/>
          <w:bCs/>
          <w:sz w:val="36"/>
          <w:szCs w:val="36"/>
        </w:rPr>
        <w:t>SRP283419</w:t>
      </w:r>
      <w:r w:rsidR="007A5CCE">
        <w:rPr>
          <w:b/>
          <w:bCs/>
          <w:sz w:val="36"/>
          <w:szCs w:val="36"/>
        </w:rPr>
        <w:br/>
      </w:r>
      <w:r w:rsidRPr="00D60C45">
        <w:rPr>
          <w:b/>
          <w:bCs/>
        </w:rPr>
        <w:t>Study Accession:</w:t>
      </w:r>
      <w:r w:rsidRPr="00D60C45">
        <w:t xml:space="preserve"> </w:t>
      </w:r>
      <w:r w:rsidR="007A5CCE" w:rsidRPr="007A5CCE">
        <w:t>SRP283419</w:t>
      </w:r>
      <w:r w:rsidRPr="00D60C45">
        <w:t xml:space="preserve"> (SRA </w:t>
      </w:r>
      <w:proofErr w:type="spellStart"/>
      <w:r w:rsidRPr="00D60C45">
        <w:t>BioProject</w:t>
      </w:r>
      <w:proofErr w:type="spellEnd"/>
      <w:r w:rsidRPr="00D60C45">
        <w:t xml:space="preserve"> PRJNA663749)</w:t>
      </w:r>
    </w:p>
    <w:p w14:paraId="114944C4" w14:textId="60A1463D" w:rsidR="00D60C45" w:rsidRPr="00D60C45" w:rsidRDefault="00D60C45" w:rsidP="00D60C45">
      <w:r w:rsidRPr="00D60C45">
        <w:rPr>
          <w:b/>
          <w:bCs/>
        </w:rPr>
        <w:t>Study Type:</w:t>
      </w:r>
      <w:r w:rsidRPr="00D60C45">
        <w:t xml:space="preserve"> Host</w:t>
      </w:r>
      <w:r w:rsidR="007A5CCE">
        <w:t xml:space="preserve"> </w:t>
      </w:r>
      <w:r w:rsidRPr="00D60C45">
        <w:t>microbiome interactions and functional gut bacterial profiling in an insect model system</w:t>
      </w:r>
    </w:p>
    <w:p w14:paraId="42DFD61D" w14:textId="77777777" w:rsidR="00D60C45" w:rsidRPr="00D60C45" w:rsidRDefault="00D60C45" w:rsidP="00D60C45">
      <w:r w:rsidRPr="00D60C45">
        <w:rPr>
          <w:b/>
          <w:bCs/>
        </w:rPr>
        <w:t>Sample Type:</w:t>
      </w:r>
      <w:r w:rsidRPr="00D60C45">
        <w:t xml:space="preserve"> Whole insect homogenates, dissected gut tissues, and frass material from the red flour beetle (</w:t>
      </w:r>
      <w:r w:rsidRPr="00D60C45">
        <w:rPr>
          <w:i/>
          <w:iCs/>
        </w:rPr>
        <w:t xml:space="preserve">Tribolium </w:t>
      </w:r>
      <w:proofErr w:type="spellStart"/>
      <w:r w:rsidRPr="00D60C45">
        <w:rPr>
          <w:i/>
          <w:iCs/>
        </w:rPr>
        <w:t>castaneum</w:t>
      </w:r>
      <w:proofErr w:type="spellEnd"/>
      <w:r w:rsidRPr="00D60C45">
        <w:t>)</w:t>
      </w:r>
    </w:p>
    <w:p w14:paraId="2025F83E" w14:textId="77777777" w:rsidR="00D60C45" w:rsidRPr="00D60C45" w:rsidRDefault="00D60C45" w:rsidP="00D60C45">
      <w:r w:rsidRPr="00D60C45">
        <w:rPr>
          <w:b/>
          <w:bCs/>
        </w:rPr>
        <w:t>Associated Publications / DOIs:</w:t>
      </w:r>
    </w:p>
    <w:p w14:paraId="6BB136F7" w14:textId="77777777" w:rsidR="00D60C45" w:rsidRPr="00D60C45" w:rsidRDefault="00D60C45" w:rsidP="00D60C45">
      <w:pPr>
        <w:numPr>
          <w:ilvl w:val="0"/>
          <w:numId w:val="1"/>
        </w:numPr>
      </w:pPr>
      <w:r w:rsidRPr="00D60C45">
        <w:t>Agarwal &amp; Agashe, 2020 (</w:t>
      </w:r>
      <w:r w:rsidRPr="00D60C45">
        <w:rPr>
          <w:i/>
          <w:iCs/>
        </w:rPr>
        <w:t>PLOS ONE</w:t>
      </w:r>
      <w:r w:rsidRPr="00D60C45">
        <w:t xml:space="preserve">): </w:t>
      </w:r>
      <w:hyperlink r:id="rId5" w:tgtFrame="_blank" w:history="1">
        <w:r w:rsidRPr="00D60C45">
          <w:rPr>
            <w:rStyle w:val="Hyperlink"/>
          </w:rPr>
          <w:t>https://doi.org/10.1371/journal.pone.0239051</w:t>
        </w:r>
      </w:hyperlink>
    </w:p>
    <w:p w14:paraId="089696C6" w14:textId="5A5BEF80" w:rsidR="00D60C45" w:rsidRPr="00D60C45" w:rsidRDefault="00D60C45" w:rsidP="00D60C45">
      <w:r w:rsidRPr="00D60C45">
        <w:rPr>
          <w:b/>
          <w:bCs/>
        </w:rPr>
        <w:t>Study Design:</w:t>
      </w:r>
      <w:r w:rsidRPr="00D60C45">
        <w:t xml:space="preserve"> Controlled laboratory evaluation establishing the red flour beetle (</w:t>
      </w:r>
      <w:r w:rsidRPr="00D60C45">
        <w:rPr>
          <w:i/>
          <w:iCs/>
        </w:rPr>
        <w:t xml:space="preserve">Tribolium </w:t>
      </w:r>
      <w:proofErr w:type="spellStart"/>
      <w:r w:rsidRPr="00D60C45">
        <w:rPr>
          <w:i/>
          <w:iCs/>
        </w:rPr>
        <w:t>castaneum</w:t>
      </w:r>
      <w:proofErr w:type="spellEnd"/>
      <w:r w:rsidRPr="00D60C45">
        <w:t xml:space="preserve">) as a robust, high-throughput model system for host-microbiome manipulation. The experimental setup utilizes targeted antibiotic clearances, controlled multi-generational rearing, and single-isolate re-inoculations to evaluate core vs. transient bacterial components. Bacterial communities were characterized by extracting total metagenomic DNA from pooled or individual insect cohorts, amplifying the V3-V4 hypervariable regions of the 16S rRNA gene, and sequencing libraries on the Illumina </w:t>
      </w:r>
      <w:proofErr w:type="spellStart"/>
      <w:r w:rsidRPr="00D60C45">
        <w:t>MiSeq</w:t>
      </w:r>
      <w:proofErr w:type="spellEnd"/>
      <w:r w:rsidRPr="00D60C45">
        <w:t xml:space="preserve"> platform (2</w:t>
      </w:r>
      <w:r>
        <w:t>*</w:t>
      </w:r>
      <w:r w:rsidRPr="00D60C45">
        <w:t>250 bp or similar paired chemistry). Downstream analysis focuses on isolating how diet, developmental stage, and parental line heritage dictate internal bacterial assembly.</w:t>
      </w:r>
    </w:p>
    <w:p w14:paraId="1422D2EB" w14:textId="77777777" w:rsidR="00D60C45" w:rsidRPr="00D60C45" w:rsidRDefault="00D60C45" w:rsidP="00D60C45">
      <w:pPr>
        <w:rPr>
          <w:b/>
          <w:bCs/>
        </w:rPr>
      </w:pPr>
      <w:r w:rsidRPr="00D60C45">
        <w:rPr>
          <w:b/>
          <w:bCs/>
        </w:rPr>
        <w:t>Taxonomic / Microbiome Profiling</w:t>
      </w:r>
    </w:p>
    <w:p w14:paraId="17024290" w14:textId="77777777" w:rsidR="00D60C45" w:rsidRPr="00D60C45" w:rsidRDefault="00D60C45" w:rsidP="00D60C45">
      <w:pPr>
        <w:numPr>
          <w:ilvl w:val="0"/>
          <w:numId w:val="2"/>
        </w:numPr>
      </w:pPr>
      <w:r w:rsidRPr="00D60C45">
        <w:rPr>
          <w:b/>
          <w:bCs/>
        </w:rPr>
        <w:t>Tool(s):</w:t>
      </w:r>
      <w:r w:rsidRPr="00D60C45">
        <w:t xml:space="preserve"> QIIME / QIIME2 pipeline for initial read parsing, quality filtering, and sequence clustering; custom R scripts for downstream ecological statistical computing.</w:t>
      </w:r>
    </w:p>
    <w:p w14:paraId="4CC042D6" w14:textId="77777777" w:rsidR="00D60C45" w:rsidRPr="00D60C45" w:rsidRDefault="00D60C45" w:rsidP="00D60C45">
      <w:pPr>
        <w:numPr>
          <w:ilvl w:val="0"/>
          <w:numId w:val="2"/>
        </w:numPr>
      </w:pPr>
      <w:r w:rsidRPr="00D60C45">
        <w:rPr>
          <w:b/>
          <w:bCs/>
        </w:rPr>
        <w:t>Database(s):</w:t>
      </w:r>
      <w:r w:rsidRPr="00D60C45">
        <w:t xml:space="preserve"> </w:t>
      </w:r>
      <w:proofErr w:type="spellStart"/>
      <w:r w:rsidRPr="00D60C45">
        <w:t>GreenGenes</w:t>
      </w:r>
      <w:proofErr w:type="spellEnd"/>
      <w:r w:rsidRPr="00D60C45">
        <w:t xml:space="preserve"> or SILVA reference databases for 16S rRNA operational taxonomic unit (OTU) or amplicon sequence variant classification.</w:t>
      </w:r>
    </w:p>
    <w:p w14:paraId="06D0F23F" w14:textId="77777777" w:rsidR="00D60C45" w:rsidRPr="00D60C45" w:rsidRDefault="00D60C45" w:rsidP="00D60C45">
      <w:pPr>
        <w:numPr>
          <w:ilvl w:val="0"/>
          <w:numId w:val="2"/>
        </w:numPr>
      </w:pPr>
      <w:r w:rsidRPr="00D60C45">
        <w:rPr>
          <w:b/>
          <w:bCs/>
        </w:rPr>
        <w:t>Normalization:</w:t>
      </w:r>
      <w:r w:rsidRPr="00D60C45">
        <w:t xml:space="preserve"> Rarefaction to a uniform minimum sampling depth per sample to control for uneven sequencing coverage; conversion of raw sequence read counts into relative abundance tables.</w:t>
      </w:r>
    </w:p>
    <w:p w14:paraId="18EA20F3" w14:textId="77777777" w:rsidR="00D60C45" w:rsidRPr="00D60C45" w:rsidRDefault="00D60C45" w:rsidP="00D60C45">
      <w:pPr>
        <w:numPr>
          <w:ilvl w:val="0"/>
          <w:numId w:val="2"/>
        </w:numPr>
      </w:pPr>
      <w:r w:rsidRPr="00D60C45">
        <w:rPr>
          <w:b/>
          <w:bCs/>
        </w:rPr>
        <w:t>Goal of the analysis:</w:t>
      </w:r>
      <w:r w:rsidRPr="00D60C45">
        <w:t xml:space="preserve"> Characterize the internal bacterial baseline of </w:t>
      </w:r>
      <w:r w:rsidRPr="00D60C45">
        <w:rPr>
          <w:i/>
          <w:iCs/>
        </w:rPr>
        <w:t xml:space="preserve">T. </w:t>
      </w:r>
      <w:proofErr w:type="spellStart"/>
      <w:r w:rsidRPr="00D60C45">
        <w:rPr>
          <w:i/>
          <w:iCs/>
        </w:rPr>
        <w:t>castaneum</w:t>
      </w:r>
      <w:proofErr w:type="spellEnd"/>
      <w:r w:rsidRPr="00D60C45">
        <w:t xml:space="preserve"> across independent genetic lineages; track how community structures shift between larvae, pupae, and adult morphotypes.</w:t>
      </w:r>
    </w:p>
    <w:p w14:paraId="68FEB762" w14:textId="4CF7F66A" w:rsidR="00D60C45" w:rsidRPr="00D60C45" w:rsidRDefault="00D60C45" w:rsidP="00D60C45">
      <w:pPr>
        <w:numPr>
          <w:ilvl w:val="0"/>
          <w:numId w:val="2"/>
        </w:numPr>
      </w:pPr>
      <w:r w:rsidRPr="00D60C45">
        <w:rPr>
          <w:b/>
          <w:bCs/>
        </w:rPr>
        <w:t>Key metrics or statistical approaches:</w:t>
      </w:r>
      <w:r w:rsidRPr="00D60C45">
        <w:t xml:space="preserve"> Alpha diversity tracking (Observed OTU richness, Shannon index, and Chao1 estimators); analysis of absolute variance via non</w:t>
      </w:r>
      <w:r>
        <w:t xml:space="preserve"> </w:t>
      </w:r>
      <w:r w:rsidRPr="00D60C45">
        <w:t>parametric Kruskal</w:t>
      </w:r>
      <w:r>
        <w:t xml:space="preserve"> </w:t>
      </w:r>
      <w:r w:rsidRPr="00D60C45">
        <w:t>Wallis or Wilcoxon tests.</w:t>
      </w:r>
    </w:p>
    <w:p w14:paraId="0ECE11C8" w14:textId="77777777" w:rsidR="00D60C45" w:rsidRPr="00D60C45" w:rsidRDefault="00D60C45" w:rsidP="00D60C45">
      <w:pPr>
        <w:rPr>
          <w:b/>
          <w:bCs/>
        </w:rPr>
      </w:pPr>
      <w:r w:rsidRPr="00D60C45">
        <w:rPr>
          <w:b/>
          <w:bCs/>
        </w:rPr>
        <w:t>Community Assembly &amp; Phenotypic Interaction Curation</w:t>
      </w:r>
    </w:p>
    <w:p w14:paraId="128CDDB5" w14:textId="77777777" w:rsidR="00D60C45" w:rsidRPr="00D60C45" w:rsidRDefault="00D60C45" w:rsidP="00D60C45">
      <w:pPr>
        <w:numPr>
          <w:ilvl w:val="0"/>
          <w:numId w:val="3"/>
        </w:numPr>
      </w:pPr>
      <w:r w:rsidRPr="00D60C45">
        <w:rPr>
          <w:b/>
          <w:bCs/>
        </w:rPr>
        <w:t>Tool(s):</w:t>
      </w:r>
      <w:r w:rsidRPr="00D60C45">
        <w:t xml:space="preserve"> R packages for categorical cross-comparisons and multi-panel data visualization.</w:t>
      </w:r>
    </w:p>
    <w:p w14:paraId="41221723" w14:textId="77777777" w:rsidR="00D60C45" w:rsidRPr="00D60C45" w:rsidRDefault="00D60C45" w:rsidP="00D60C45">
      <w:pPr>
        <w:numPr>
          <w:ilvl w:val="0"/>
          <w:numId w:val="3"/>
        </w:numPr>
      </w:pPr>
      <w:r w:rsidRPr="00D60C45">
        <w:rPr>
          <w:b/>
          <w:bCs/>
        </w:rPr>
        <w:t>Database(s):</w:t>
      </w:r>
      <w:r w:rsidRPr="00D60C45">
        <w:t xml:space="preserve"> Phenotypic assay metrics (including metadata tracking developmental rate, survival fractions, reproductive fecundity, and pathogen resistance profiles).</w:t>
      </w:r>
    </w:p>
    <w:p w14:paraId="53DE5DE6" w14:textId="77777777" w:rsidR="00D60C45" w:rsidRPr="00D60C45" w:rsidRDefault="00D60C45" w:rsidP="00D60C45">
      <w:pPr>
        <w:numPr>
          <w:ilvl w:val="0"/>
          <w:numId w:val="3"/>
        </w:numPr>
      </w:pPr>
      <w:r w:rsidRPr="00D60C45">
        <w:rPr>
          <w:b/>
          <w:bCs/>
        </w:rPr>
        <w:t>Normalization:</w:t>
      </w:r>
      <w:r w:rsidRPr="00D60C45">
        <w:t xml:space="preserve"> Baseline standardization against axenic (germ-free) and conventionally reared control lines to accurately evaluate functional shifts.</w:t>
      </w:r>
    </w:p>
    <w:p w14:paraId="14C525A3" w14:textId="77777777" w:rsidR="00D60C45" w:rsidRPr="00D60C45" w:rsidRDefault="00D60C45" w:rsidP="00D60C45">
      <w:pPr>
        <w:numPr>
          <w:ilvl w:val="0"/>
          <w:numId w:val="3"/>
        </w:numPr>
      </w:pPr>
      <w:r w:rsidRPr="00D60C45">
        <w:rPr>
          <w:b/>
          <w:bCs/>
        </w:rPr>
        <w:lastRenderedPageBreak/>
        <w:t>Goal of the analysis:</w:t>
      </w:r>
      <w:r w:rsidRPr="00D60C45">
        <w:t xml:space="preserve"> Verify whether specific core isolates directly influence host development, fitness, or survivorship under stressful or homeostatic conditions.</w:t>
      </w:r>
    </w:p>
    <w:p w14:paraId="6A4192F6" w14:textId="06962C27" w:rsidR="00D60C45" w:rsidRPr="00D60C45" w:rsidRDefault="00D60C45" w:rsidP="00D60C45">
      <w:pPr>
        <w:numPr>
          <w:ilvl w:val="0"/>
          <w:numId w:val="3"/>
        </w:numPr>
      </w:pPr>
      <w:r w:rsidRPr="00D60C45">
        <w:rPr>
          <w:b/>
          <w:bCs/>
        </w:rPr>
        <w:t>Key metrics or statistical approaches:</w:t>
      </w:r>
      <w:r w:rsidRPr="00D60C45">
        <w:t xml:space="preserve"> Calculation of explicit development time delays (in days); fitness trait mapping across varied dietary frameworks; and survival curve fitting comparing axenic lines with mono-associated or poly</w:t>
      </w:r>
      <w:r>
        <w:t xml:space="preserve"> </w:t>
      </w:r>
      <w:r w:rsidRPr="00D60C45">
        <w:t>inoculated insect cohorts.</w:t>
      </w:r>
    </w:p>
    <w:p w14:paraId="70AFE2C5" w14:textId="77777777" w:rsidR="00D60C45" w:rsidRPr="00D60C45" w:rsidRDefault="00D60C45" w:rsidP="00D60C45">
      <w:pPr>
        <w:rPr>
          <w:b/>
          <w:bCs/>
        </w:rPr>
      </w:pPr>
      <w:r w:rsidRPr="00D60C45">
        <w:rPr>
          <w:b/>
          <w:bCs/>
        </w:rPr>
        <w:t>Compositional and Functional Dissection</w:t>
      </w:r>
    </w:p>
    <w:p w14:paraId="269BA5FD" w14:textId="77777777" w:rsidR="00D60C45" w:rsidRPr="00D60C45" w:rsidRDefault="00D60C45" w:rsidP="00D60C45">
      <w:pPr>
        <w:numPr>
          <w:ilvl w:val="0"/>
          <w:numId w:val="4"/>
        </w:numPr>
      </w:pPr>
      <w:r w:rsidRPr="00D60C45">
        <w:rPr>
          <w:b/>
          <w:bCs/>
        </w:rPr>
        <w:t>Tool(s):</w:t>
      </w:r>
      <w:r w:rsidRPr="00D60C45">
        <w:t xml:space="preserve"> Linear model fitting and analysis of variance (ANOVA) tracking the separate and interactive effects of host genetic background, diet, and bacterial treatments.</w:t>
      </w:r>
    </w:p>
    <w:p w14:paraId="3C3BAFA8" w14:textId="77777777" w:rsidR="00D60C45" w:rsidRPr="00D60C45" w:rsidRDefault="00D60C45" w:rsidP="00D60C45">
      <w:pPr>
        <w:numPr>
          <w:ilvl w:val="0"/>
          <w:numId w:val="4"/>
        </w:numPr>
      </w:pPr>
      <w:r w:rsidRPr="00D60C45">
        <w:rPr>
          <w:b/>
          <w:bCs/>
        </w:rPr>
        <w:t>Database(s):</w:t>
      </w:r>
      <w:r w:rsidRPr="00D60C45">
        <w:t xml:space="preserve"> Curated taxonomy profiles highlighting dominant insect-associated families, including Enterobacteriaceae, </w:t>
      </w:r>
      <w:proofErr w:type="spellStart"/>
      <w:r w:rsidRPr="00D60C45">
        <w:t>Enterococcaceae</w:t>
      </w:r>
      <w:proofErr w:type="spellEnd"/>
      <w:r w:rsidRPr="00D60C45">
        <w:t>, and Pseudomonadaceae.</w:t>
      </w:r>
    </w:p>
    <w:p w14:paraId="58CE8437" w14:textId="77777777" w:rsidR="00D60C45" w:rsidRPr="00D60C45" w:rsidRDefault="00D60C45" w:rsidP="00D60C45">
      <w:pPr>
        <w:numPr>
          <w:ilvl w:val="0"/>
          <w:numId w:val="4"/>
        </w:numPr>
      </w:pPr>
      <w:r w:rsidRPr="00D60C45">
        <w:rPr>
          <w:b/>
          <w:bCs/>
        </w:rPr>
        <w:t>Normalization:</w:t>
      </w:r>
      <w:r w:rsidRPr="00D60C45">
        <w:t xml:space="preserve"> Standardized transformations of relative abundance data prior to parametric linear mapping.</w:t>
      </w:r>
    </w:p>
    <w:p w14:paraId="05B31710" w14:textId="77777777" w:rsidR="00D60C45" w:rsidRPr="00D60C45" w:rsidRDefault="00D60C45" w:rsidP="00D60C45">
      <w:pPr>
        <w:numPr>
          <w:ilvl w:val="0"/>
          <w:numId w:val="4"/>
        </w:numPr>
      </w:pPr>
      <w:r w:rsidRPr="00D60C45">
        <w:rPr>
          <w:b/>
          <w:bCs/>
        </w:rPr>
        <w:t>Goal of the analysis:</w:t>
      </w:r>
      <w:r w:rsidRPr="00D60C45">
        <w:t xml:space="preserve"> Differentiate persistent, functionally integrated internal gut residents from transient microbes passing through contaminated grain diets.</w:t>
      </w:r>
    </w:p>
    <w:p w14:paraId="42887590" w14:textId="77777777" w:rsidR="00D60C45" w:rsidRPr="00D60C45" w:rsidRDefault="00D60C45" w:rsidP="00D60C45">
      <w:pPr>
        <w:numPr>
          <w:ilvl w:val="0"/>
          <w:numId w:val="4"/>
        </w:numPr>
      </w:pPr>
      <w:r w:rsidRPr="00D60C45">
        <w:rPr>
          <w:b/>
          <w:bCs/>
        </w:rPr>
        <w:t>Key metrics or statistical approaches:</w:t>
      </w:r>
      <w:r w:rsidRPr="00D60C45">
        <w:t xml:space="preserve"> Quantitative evaluation of bacterial load via qPCR; extraction of specific interaction networks highlighting how stable </w:t>
      </w:r>
      <w:r w:rsidRPr="00D60C45">
        <w:rPr>
          <w:i/>
          <w:iCs/>
        </w:rPr>
        <w:t>Escherichia</w:t>
      </w:r>
      <w:r w:rsidRPr="00D60C45">
        <w:t xml:space="preserve"> or </w:t>
      </w:r>
      <w:r w:rsidRPr="00D60C45">
        <w:rPr>
          <w:i/>
          <w:iCs/>
        </w:rPr>
        <w:t>Enterococcus</w:t>
      </w:r>
      <w:r w:rsidRPr="00D60C45">
        <w:t xml:space="preserve"> groups provide metabolic or protective coverage against opportunistic pathogens like </w:t>
      </w:r>
      <w:r w:rsidRPr="00D60C45">
        <w:rPr>
          <w:i/>
          <w:iCs/>
        </w:rPr>
        <w:t>Pseudomonas aeruginosa</w:t>
      </w:r>
      <w:r w:rsidRPr="00D60C45">
        <w:t>.</w:t>
      </w:r>
    </w:p>
    <w:p w14:paraId="0812EA5C" w14:textId="77777777" w:rsidR="00D60C45" w:rsidRPr="00D60C45" w:rsidRDefault="00D60C45" w:rsidP="00D60C45">
      <w:pPr>
        <w:rPr>
          <w:b/>
          <w:bCs/>
        </w:rPr>
      </w:pPr>
      <w:r w:rsidRPr="00D60C45">
        <w:rPr>
          <w:b/>
          <w:bCs/>
        </w:rPr>
        <w:t>Multivariate Beta-Diversity Analyses</w:t>
      </w:r>
    </w:p>
    <w:p w14:paraId="58B5851E" w14:textId="549060CC" w:rsidR="00D60C45" w:rsidRPr="00D60C45" w:rsidRDefault="00D60C45" w:rsidP="00D60C45">
      <w:pPr>
        <w:numPr>
          <w:ilvl w:val="0"/>
          <w:numId w:val="5"/>
        </w:numPr>
      </w:pPr>
      <w:r w:rsidRPr="00D60C45">
        <w:rPr>
          <w:b/>
          <w:bCs/>
        </w:rPr>
        <w:t>Tool(s):</w:t>
      </w:r>
      <w:r w:rsidRPr="00D60C45">
        <w:t xml:space="preserve"> Principal Coordinate Analysis (</w:t>
      </w:r>
      <w:proofErr w:type="spellStart"/>
      <w:r w:rsidRPr="00D60C45">
        <w:t>PCoA</w:t>
      </w:r>
      <w:proofErr w:type="spellEnd"/>
      <w:r w:rsidRPr="00D60C45">
        <w:t>) and Non</w:t>
      </w:r>
      <w:r>
        <w:t xml:space="preserve"> </w:t>
      </w:r>
      <w:r w:rsidRPr="00D60C45">
        <w:t>metric Multidimensional Scaling (NMDS) projection frameworks; distance matrix calculations executed via the vegan package.</w:t>
      </w:r>
    </w:p>
    <w:p w14:paraId="46C0A47E" w14:textId="20AAE2B6" w:rsidR="00D60C45" w:rsidRPr="00D60C45" w:rsidRDefault="00D60C45" w:rsidP="00D60C45">
      <w:pPr>
        <w:numPr>
          <w:ilvl w:val="0"/>
          <w:numId w:val="5"/>
        </w:numPr>
      </w:pPr>
      <w:r w:rsidRPr="00D60C45">
        <w:rPr>
          <w:b/>
          <w:bCs/>
        </w:rPr>
        <w:t>Database(s):</w:t>
      </w:r>
      <w:r w:rsidRPr="00D60C45">
        <w:t xml:space="preserve"> Distance arrays constructed from binary (presence</w:t>
      </w:r>
      <w:r>
        <w:t xml:space="preserve"> </w:t>
      </w:r>
      <w:r w:rsidRPr="00D60C45">
        <w:t>absence) and quantitative (abundance</w:t>
      </w:r>
      <w:r>
        <w:t xml:space="preserve"> </w:t>
      </w:r>
      <w:r w:rsidRPr="00D60C45">
        <w:t>weighted) taxonomic matrices.</w:t>
      </w:r>
    </w:p>
    <w:p w14:paraId="67735262" w14:textId="24C71D9C" w:rsidR="00D60C45" w:rsidRPr="00D60C45" w:rsidRDefault="00D60C45" w:rsidP="00D60C45">
      <w:pPr>
        <w:numPr>
          <w:ilvl w:val="0"/>
          <w:numId w:val="5"/>
        </w:numPr>
      </w:pPr>
      <w:r w:rsidRPr="00D60C45">
        <w:rPr>
          <w:b/>
          <w:bCs/>
        </w:rPr>
        <w:t>Normalization:</w:t>
      </w:r>
      <w:r w:rsidRPr="00D60C45">
        <w:t xml:space="preserve"> Calculation of unweighted and weighted </w:t>
      </w:r>
      <w:proofErr w:type="spellStart"/>
      <w:r w:rsidRPr="00D60C45">
        <w:t>UniFrac</w:t>
      </w:r>
      <w:proofErr w:type="spellEnd"/>
      <w:r w:rsidRPr="00D60C45">
        <w:t xml:space="preserve"> or Bray</w:t>
      </w:r>
      <w:r>
        <w:t xml:space="preserve"> </w:t>
      </w:r>
      <w:r w:rsidRPr="00D60C45">
        <w:t>Curtis dissimilarity distances to separate structural variation.</w:t>
      </w:r>
    </w:p>
    <w:p w14:paraId="4E2C66EC" w14:textId="77777777" w:rsidR="00D60C45" w:rsidRPr="00D60C45" w:rsidRDefault="00D60C45" w:rsidP="00D60C45">
      <w:pPr>
        <w:numPr>
          <w:ilvl w:val="0"/>
          <w:numId w:val="5"/>
        </w:numPr>
      </w:pPr>
      <w:r w:rsidRPr="00D60C45">
        <w:rPr>
          <w:b/>
          <w:bCs/>
        </w:rPr>
        <w:t>Goal of the analysis:</w:t>
      </w:r>
      <w:r w:rsidRPr="00D60C45">
        <w:t xml:space="preserve"> Quantify the exact percentage of microbiome variation driven by external environmental features (e.g., grain type, moisture) versus internal biological properties (e.g., developmental stage, genetic strain).</w:t>
      </w:r>
    </w:p>
    <w:p w14:paraId="1875461A" w14:textId="5E0F166B" w:rsidR="00D60C45" w:rsidRPr="00D60C45" w:rsidRDefault="00D60C45" w:rsidP="00D60C45">
      <w:pPr>
        <w:numPr>
          <w:ilvl w:val="0"/>
          <w:numId w:val="5"/>
        </w:numPr>
      </w:pPr>
      <w:r w:rsidRPr="00D60C45">
        <w:rPr>
          <w:b/>
          <w:bCs/>
        </w:rPr>
        <w:t>Key metrics or statistical approaches:</w:t>
      </w:r>
      <w:r w:rsidRPr="00D60C45">
        <w:t xml:space="preserve"> Permutational Multivariate Analysis of Variance (PERMANOVA/Adonis, 999 permutations) to statistically partition microbial beta</w:t>
      </w:r>
      <w:r>
        <w:t xml:space="preserve"> </w:t>
      </w:r>
      <w:r w:rsidRPr="00D60C45">
        <w:t xml:space="preserve">diversity shifts; Analysis of Molecular Variance (AMOVA) or </w:t>
      </w:r>
      <w:proofErr w:type="spellStart"/>
      <w:r w:rsidRPr="00D60C45">
        <w:t>betadisper</w:t>
      </w:r>
      <w:proofErr w:type="spellEnd"/>
      <w:r w:rsidRPr="00D60C45">
        <w:t xml:space="preserve"> tests to confirm homogeneity of groups.</w:t>
      </w:r>
    </w:p>
    <w:p w14:paraId="2A9E65E8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354"/>
    <w:multiLevelType w:val="multilevel"/>
    <w:tmpl w:val="CF4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67E2"/>
    <w:multiLevelType w:val="multilevel"/>
    <w:tmpl w:val="080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66A51"/>
    <w:multiLevelType w:val="multilevel"/>
    <w:tmpl w:val="DC28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D4810"/>
    <w:multiLevelType w:val="multilevel"/>
    <w:tmpl w:val="90E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62365"/>
    <w:multiLevelType w:val="multilevel"/>
    <w:tmpl w:val="3D7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530495">
    <w:abstractNumId w:val="0"/>
  </w:num>
  <w:num w:numId="2" w16cid:durableId="96755509">
    <w:abstractNumId w:val="3"/>
  </w:num>
  <w:num w:numId="3" w16cid:durableId="896863805">
    <w:abstractNumId w:val="2"/>
  </w:num>
  <w:num w:numId="4" w16cid:durableId="1606227606">
    <w:abstractNumId w:val="4"/>
  </w:num>
  <w:num w:numId="5" w16cid:durableId="19269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45"/>
    <w:rsid w:val="000C3267"/>
    <w:rsid w:val="001B5A28"/>
    <w:rsid w:val="00227B78"/>
    <w:rsid w:val="007A5CCE"/>
    <w:rsid w:val="007A7287"/>
    <w:rsid w:val="00850FB5"/>
    <w:rsid w:val="00D60C45"/>
    <w:rsid w:val="00F3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0273"/>
  <w15:chartTrackingRefBased/>
  <w15:docId w15:val="{53E33319-EFC6-43F5-B645-924A0803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371/journal.pone.02390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2</cp:revision>
  <dcterms:created xsi:type="dcterms:W3CDTF">2026-06-15T16:59:00Z</dcterms:created>
  <dcterms:modified xsi:type="dcterms:W3CDTF">2026-06-15T17:03:00Z</dcterms:modified>
</cp:coreProperties>
</file>