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C6A5" w14:textId="77777777" w:rsidR="001F6557" w:rsidRPr="001F6557" w:rsidRDefault="001F6557" w:rsidP="001F6557">
      <w:pPr>
        <w:rPr>
          <w:b/>
          <w:bCs/>
          <w:sz w:val="36"/>
          <w:szCs w:val="36"/>
        </w:rPr>
      </w:pPr>
      <w:r w:rsidRPr="001F6557">
        <w:rPr>
          <w:b/>
          <w:bCs/>
          <w:sz w:val="36"/>
          <w:szCs w:val="36"/>
        </w:rPr>
        <w:t>Analysis Plan - SRP312202</w:t>
      </w:r>
    </w:p>
    <w:p w14:paraId="78768201" w14:textId="77777777" w:rsidR="001F6557" w:rsidRPr="001F6557" w:rsidRDefault="001F6557" w:rsidP="001F6557">
      <w:r w:rsidRPr="001F6557">
        <w:rPr>
          <w:b/>
          <w:bCs/>
        </w:rPr>
        <w:t>Study Accession:</w:t>
      </w:r>
      <w:r w:rsidRPr="001F6557">
        <w:t xml:space="preserve"> SRP312202 (SRA </w:t>
      </w:r>
      <w:proofErr w:type="spellStart"/>
      <w:r w:rsidRPr="001F6557">
        <w:t>BioProject</w:t>
      </w:r>
      <w:proofErr w:type="spellEnd"/>
      <w:r w:rsidRPr="001F6557">
        <w:t xml:space="preserve"> PRJNA713915)</w:t>
      </w:r>
    </w:p>
    <w:p w14:paraId="756646F0" w14:textId="77777777" w:rsidR="001F6557" w:rsidRPr="001F6557" w:rsidRDefault="001F6557" w:rsidP="001F6557">
      <w:r w:rsidRPr="001F6557">
        <w:rPr>
          <w:b/>
          <w:bCs/>
        </w:rPr>
        <w:t>Study Type:</w:t>
      </w:r>
      <w:r w:rsidRPr="001F6557">
        <w:t xml:space="preserve"> Fresh water environmental genomics, river confluence metagenomics, and lignocellulolytic potential mining</w:t>
      </w:r>
    </w:p>
    <w:p w14:paraId="6FBC58A6" w14:textId="77777777" w:rsidR="001F6557" w:rsidRPr="001F6557" w:rsidRDefault="001F6557" w:rsidP="001F6557">
      <w:r w:rsidRPr="001F6557">
        <w:rPr>
          <w:b/>
          <w:bCs/>
        </w:rPr>
        <w:t>Sample Type:</w:t>
      </w:r>
      <w:r w:rsidRPr="001F6557">
        <w:t xml:space="preserve"> Environmental surface water samples collected across a sacred river confluence</w:t>
      </w:r>
    </w:p>
    <w:p w14:paraId="27A1D510" w14:textId="77777777" w:rsidR="001F6557" w:rsidRPr="001F6557" w:rsidRDefault="001F6557" w:rsidP="001F6557">
      <w:r w:rsidRPr="001F6557">
        <w:rPr>
          <w:b/>
          <w:bCs/>
        </w:rPr>
        <w:t>Associated Publications / DOIs:</w:t>
      </w:r>
    </w:p>
    <w:p w14:paraId="06778AED" w14:textId="77777777" w:rsidR="001F6557" w:rsidRPr="001F6557" w:rsidRDefault="001F6557" w:rsidP="001F6557">
      <w:pPr>
        <w:numPr>
          <w:ilvl w:val="0"/>
          <w:numId w:val="1"/>
        </w:numPr>
      </w:pPr>
      <w:r w:rsidRPr="001F6557">
        <w:t>Rajput et al., 2022 (</w:t>
      </w:r>
      <w:r w:rsidRPr="001F6557">
        <w:rPr>
          <w:i/>
          <w:iCs/>
        </w:rPr>
        <w:t>3 Biotech</w:t>
      </w:r>
      <w:r w:rsidRPr="001F6557">
        <w:t xml:space="preserve">): </w:t>
      </w:r>
      <w:hyperlink r:id="rId5" w:tgtFrame="_blank" w:history="1">
        <w:r w:rsidRPr="001F6557">
          <w:rPr>
            <w:rStyle w:val="Hyperlink"/>
          </w:rPr>
          <w:t>https://doi.org/10.1007/s13205-022-03190-7</w:t>
        </w:r>
      </w:hyperlink>
    </w:p>
    <w:p w14:paraId="33195DD8" w14:textId="7E0A5083" w:rsidR="001F6557" w:rsidRPr="001F6557" w:rsidRDefault="001F6557" w:rsidP="001F6557">
      <w:r w:rsidRPr="001F6557">
        <w:rPr>
          <w:b/>
          <w:bCs/>
        </w:rPr>
        <w:t>Study Design:</w:t>
      </w:r>
      <w:r w:rsidRPr="001F6557">
        <w:t xml:space="preserve"> Functional and exploratory metagenomic mapping of the sacred confluence (Sangam) of the Ganges and Yamuna Rivers in Prayagraj, India. Because these two major rivers originate from different glacial sources and navigate distinct geographic and industrial landscapes, their water chemistry varies considerably. The confluence faces regular accumulation of carbon</w:t>
      </w:r>
      <w:r>
        <w:t xml:space="preserve"> </w:t>
      </w:r>
      <w:r w:rsidRPr="001F6557">
        <w:t>rich, plant</w:t>
      </w:r>
      <w:r>
        <w:t xml:space="preserve"> </w:t>
      </w:r>
      <w:r w:rsidRPr="001F6557">
        <w:t>derived substrates accelerated by wastewater discharges from adjoining paper and pulp industries, providing an ideal natural laboratory for the enrichment of biomass</w:t>
      </w:r>
      <w:r>
        <w:t xml:space="preserve"> </w:t>
      </w:r>
      <w:r w:rsidRPr="001F6557">
        <w:t>utilizing genes. Whole</w:t>
      </w:r>
      <w:r>
        <w:t xml:space="preserve"> </w:t>
      </w:r>
      <w:r w:rsidRPr="001F6557">
        <w:t xml:space="preserve">community genomic DNA directly extracted from the confluent water channels was </w:t>
      </w:r>
      <w:proofErr w:type="spellStart"/>
      <w:r w:rsidRPr="001F6557">
        <w:t>analyzed</w:t>
      </w:r>
      <w:proofErr w:type="spellEnd"/>
      <w:r w:rsidRPr="001F6557">
        <w:t xml:space="preserve"> via high</w:t>
      </w:r>
      <w:r>
        <w:t xml:space="preserve"> </w:t>
      </w:r>
      <w:r w:rsidRPr="001F6557">
        <w:t>depth shotgun metagenomic sequencing on the Illumina platform to evaluate microbial community structures and map the hidden pool of carbohydrate</w:t>
      </w:r>
      <w:r>
        <w:t xml:space="preserve"> </w:t>
      </w:r>
      <w:r w:rsidRPr="001F6557">
        <w:t>active enzymes (</w:t>
      </w:r>
      <w:proofErr w:type="spellStart"/>
      <w:r w:rsidRPr="001F6557">
        <w:t>CAZymes</w:t>
      </w:r>
      <w:proofErr w:type="spellEnd"/>
      <w:r w:rsidRPr="001F6557">
        <w:t>) capable of processing lignocellulosic biomass (LCB).</w:t>
      </w:r>
    </w:p>
    <w:p w14:paraId="6F3206B3" w14:textId="77777777" w:rsidR="001F6557" w:rsidRPr="001F6557" w:rsidRDefault="001F6557" w:rsidP="001F6557">
      <w:pPr>
        <w:rPr>
          <w:b/>
          <w:bCs/>
        </w:rPr>
      </w:pPr>
      <w:r w:rsidRPr="001F6557">
        <w:rPr>
          <w:b/>
          <w:bCs/>
        </w:rPr>
        <w:t>Sequence Preprocessing &amp; Functional Gene Prediction</w:t>
      </w:r>
    </w:p>
    <w:p w14:paraId="6D37FC0F" w14:textId="77777777" w:rsidR="001F6557" w:rsidRPr="001F6557" w:rsidRDefault="001F6557" w:rsidP="001F6557">
      <w:pPr>
        <w:numPr>
          <w:ilvl w:val="0"/>
          <w:numId w:val="2"/>
        </w:numPr>
      </w:pPr>
      <w:r w:rsidRPr="001F6557">
        <w:rPr>
          <w:b/>
          <w:bCs/>
        </w:rPr>
        <w:t>Tool(s):</w:t>
      </w:r>
      <w:r w:rsidRPr="001F6557">
        <w:t xml:space="preserve"> Quality filtration pipelines to remove low-confidence read pairs; </w:t>
      </w:r>
      <w:proofErr w:type="spellStart"/>
      <w:r w:rsidRPr="001F6557">
        <w:t>FragGeneScan</w:t>
      </w:r>
      <w:proofErr w:type="spellEnd"/>
      <w:r w:rsidRPr="001F6557">
        <w:t xml:space="preserve"> or </w:t>
      </w:r>
      <w:proofErr w:type="spellStart"/>
      <w:r w:rsidRPr="001F6557">
        <w:t>MetaGeneMark</w:t>
      </w:r>
      <w:proofErr w:type="spellEnd"/>
      <w:r w:rsidRPr="001F6557">
        <w:t xml:space="preserve"> for </w:t>
      </w:r>
      <w:r w:rsidRPr="001F6557">
        <w:rPr>
          <w:i/>
          <w:iCs/>
        </w:rPr>
        <w:t>ab-initio</w:t>
      </w:r>
      <w:r w:rsidRPr="001F6557">
        <w:t xml:space="preserve"> open reading frame (ORF) and gene prediction across short environmental reads.</w:t>
      </w:r>
    </w:p>
    <w:p w14:paraId="17CDAF2E" w14:textId="77777777" w:rsidR="001F6557" w:rsidRPr="001F6557" w:rsidRDefault="001F6557" w:rsidP="001F6557">
      <w:pPr>
        <w:numPr>
          <w:ilvl w:val="0"/>
          <w:numId w:val="2"/>
        </w:numPr>
      </w:pPr>
      <w:r w:rsidRPr="001F6557">
        <w:rPr>
          <w:b/>
          <w:bCs/>
        </w:rPr>
        <w:t>Database(s):</w:t>
      </w:r>
      <w:r w:rsidRPr="001F6557">
        <w:t xml:space="preserve"> Custom reference sequencing artifact and vector decontamination indices.</w:t>
      </w:r>
    </w:p>
    <w:p w14:paraId="48C6488F" w14:textId="280355CC" w:rsidR="001F6557" w:rsidRPr="001F6557" w:rsidRDefault="001F6557" w:rsidP="001F6557">
      <w:pPr>
        <w:numPr>
          <w:ilvl w:val="0"/>
          <w:numId w:val="2"/>
        </w:numPr>
      </w:pPr>
      <w:r w:rsidRPr="001F6557">
        <w:rPr>
          <w:b/>
          <w:bCs/>
        </w:rPr>
        <w:t>Normalization:</w:t>
      </w:r>
      <w:r w:rsidRPr="001F6557">
        <w:t xml:space="preserve"> Read count alignment filtering thresholding sequences below standard base quality scores (Q</w:t>
      </w:r>
      <w:r>
        <w:t>&gt;</w:t>
      </w:r>
      <w:r w:rsidRPr="001F6557">
        <w:t>20/Q30) to control for background noise across environmental runs.</w:t>
      </w:r>
    </w:p>
    <w:p w14:paraId="79DA6F69" w14:textId="77777777" w:rsidR="001F6557" w:rsidRPr="001F6557" w:rsidRDefault="001F6557" w:rsidP="001F6557">
      <w:pPr>
        <w:numPr>
          <w:ilvl w:val="0"/>
          <w:numId w:val="2"/>
        </w:numPr>
      </w:pPr>
      <w:r w:rsidRPr="001F6557">
        <w:rPr>
          <w:b/>
          <w:bCs/>
        </w:rPr>
        <w:t>Goal of the analysis:</w:t>
      </w:r>
      <w:r w:rsidRPr="001F6557">
        <w:t xml:space="preserve"> Clean complex aquatic metagenomic datasets and extract coding sequences to </w:t>
      </w:r>
      <w:proofErr w:type="spellStart"/>
      <w:r w:rsidRPr="001F6557">
        <w:t>catalog</w:t>
      </w:r>
      <w:proofErr w:type="spellEnd"/>
      <w:r w:rsidRPr="001F6557">
        <w:t xml:space="preserve"> the functional potential of the confluence.</w:t>
      </w:r>
    </w:p>
    <w:p w14:paraId="4BF10AB3" w14:textId="77777777" w:rsidR="001F6557" w:rsidRPr="001F6557" w:rsidRDefault="001F6557" w:rsidP="001F6557">
      <w:pPr>
        <w:numPr>
          <w:ilvl w:val="0"/>
          <w:numId w:val="2"/>
        </w:numPr>
      </w:pPr>
      <w:r w:rsidRPr="001F6557">
        <w:rPr>
          <w:b/>
          <w:bCs/>
        </w:rPr>
        <w:t>Key metrics or statistical approaches:</w:t>
      </w:r>
      <w:r w:rsidRPr="001F6557">
        <w:t xml:space="preserve"> Quantitative extraction of valid open reading frames, constructing a non-redundant downstream functional gene database to map metabolic pathways.</w:t>
      </w:r>
    </w:p>
    <w:p w14:paraId="79346318" w14:textId="77777777" w:rsidR="001F6557" w:rsidRPr="001F6557" w:rsidRDefault="001F6557" w:rsidP="001F6557">
      <w:pPr>
        <w:rPr>
          <w:b/>
          <w:bCs/>
        </w:rPr>
      </w:pPr>
      <w:proofErr w:type="spellStart"/>
      <w:r w:rsidRPr="001F6557">
        <w:rPr>
          <w:b/>
          <w:bCs/>
        </w:rPr>
        <w:t>CAZyme</w:t>
      </w:r>
      <w:proofErr w:type="spellEnd"/>
      <w:r w:rsidRPr="001F6557">
        <w:rPr>
          <w:b/>
          <w:bCs/>
        </w:rPr>
        <w:t xml:space="preserve"> Annotation &amp; Classification</w:t>
      </w:r>
    </w:p>
    <w:p w14:paraId="69CA8966" w14:textId="77777777" w:rsidR="001F6557" w:rsidRPr="001F6557" w:rsidRDefault="001F6557" w:rsidP="001F6557">
      <w:pPr>
        <w:numPr>
          <w:ilvl w:val="0"/>
          <w:numId w:val="3"/>
        </w:numPr>
      </w:pPr>
      <w:r w:rsidRPr="001F6557">
        <w:rPr>
          <w:b/>
          <w:bCs/>
        </w:rPr>
        <w:t>Tool(s):</w:t>
      </w:r>
      <w:r w:rsidRPr="001F6557">
        <w:t xml:space="preserve"> </w:t>
      </w:r>
      <w:proofErr w:type="spellStart"/>
      <w:r w:rsidRPr="001F6557">
        <w:t>dbCAN</w:t>
      </w:r>
      <w:proofErr w:type="spellEnd"/>
      <w:r w:rsidRPr="001F6557">
        <w:t xml:space="preserve"> or dbCAN2 automated meta-server engines combining HMMER, DIAMOND, and </w:t>
      </w:r>
      <w:proofErr w:type="spellStart"/>
      <w:r w:rsidRPr="001F6557">
        <w:t>eCAMI</w:t>
      </w:r>
      <w:proofErr w:type="spellEnd"/>
      <w:r w:rsidRPr="001F6557">
        <w:t xml:space="preserve"> for consensus domain matching.</w:t>
      </w:r>
    </w:p>
    <w:p w14:paraId="1A060DA9" w14:textId="70DA9032" w:rsidR="001F6557" w:rsidRPr="001F6557" w:rsidRDefault="001F6557" w:rsidP="001F6557">
      <w:pPr>
        <w:numPr>
          <w:ilvl w:val="0"/>
          <w:numId w:val="3"/>
        </w:numPr>
      </w:pPr>
      <w:r w:rsidRPr="001F6557">
        <w:rPr>
          <w:b/>
          <w:bCs/>
        </w:rPr>
        <w:t>Database(s):</w:t>
      </w:r>
      <w:r w:rsidRPr="001F6557">
        <w:t xml:space="preserve"> Carbohydrate</w:t>
      </w:r>
      <w:r>
        <w:t xml:space="preserve"> </w:t>
      </w:r>
      <w:r w:rsidRPr="001F6557">
        <w:t>Active Enzymes (</w:t>
      </w:r>
      <w:proofErr w:type="spellStart"/>
      <w:r w:rsidRPr="001F6557">
        <w:t>CAZyme</w:t>
      </w:r>
      <w:proofErr w:type="spellEnd"/>
      <w:r w:rsidRPr="001F6557">
        <w:t xml:space="preserve">) database tracking six major structural modules: Glycoside Hydrolases (GH), </w:t>
      </w:r>
      <w:proofErr w:type="spellStart"/>
      <w:r w:rsidRPr="001F6557">
        <w:t>GlycosylTransferases</w:t>
      </w:r>
      <w:proofErr w:type="spellEnd"/>
      <w:r w:rsidRPr="001F6557">
        <w:t xml:space="preserve"> (GT), Polysaccharide Lyases (PL), Carbohydrate Esterases (CE), Auxiliary Activities (AA), and Carbohydrate</w:t>
      </w:r>
      <w:r>
        <w:t xml:space="preserve"> </w:t>
      </w:r>
      <w:r w:rsidRPr="001F6557">
        <w:t>Binding Modules (CBM).</w:t>
      </w:r>
    </w:p>
    <w:p w14:paraId="7546CCAE" w14:textId="629C2FCB" w:rsidR="001F6557" w:rsidRPr="001F6557" w:rsidRDefault="001F6557" w:rsidP="001F6557">
      <w:pPr>
        <w:numPr>
          <w:ilvl w:val="0"/>
          <w:numId w:val="3"/>
        </w:numPr>
      </w:pPr>
      <w:r w:rsidRPr="001F6557">
        <w:rPr>
          <w:b/>
          <w:bCs/>
        </w:rPr>
        <w:t>Normalization:</w:t>
      </w:r>
      <w:r w:rsidRPr="001F6557">
        <w:t xml:space="preserve"> Count matrices of putatively assigned </w:t>
      </w:r>
      <w:proofErr w:type="spellStart"/>
      <w:r w:rsidRPr="001F6557">
        <w:t>CAZymes</w:t>
      </w:r>
      <w:proofErr w:type="spellEnd"/>
      <w:r w:rsidRPr="001F6557">
        <w:t xml:space="preserve"> normalized by gene length fractions and overall sequencing library yields to support cross</w:t>
      </w:r>
      <w:r>
        <w:t xml:space="preserve"> </w:t>
      </w:r>
      <w:r w:rsidRPr="001F6557">
        <w:t>site comparisons.</w:t>
      </w:r>
    </w:p>
    <w:p w14:paraId="38272992" w14:textId="77777777" w:rsidR="001F6557" w:rsidRPr="001F6557" w:rsidRDefault="001F6557" w:rsidP="001F6557">
      <w:pPr>
        <w:numPr>
          <w:ilvl w:val="0"/>
          <w:numId w:val="3"/>
        </w:numPr>
      </w:pPr>
      <w:r w:rsidRPr="001F6557">
        <w:rPr>
          <w:b/>
          <w:bCs/>
        </w:rPr>
        <w:lastRenderedPageBreak/>
        <w:t>Goal of the analysis:</w:t>
      </w:r>
      <w:r w:rsidRPr="001F6557">
        <w:t xml:space="preserve"> Screen, categorize, and count functional enzyme domains involved in the synthesis or cleavage of complex glycosidic linkages.</w:t>
      </w:r>
    </w:p>
    <w:p w14:paraId="51729157" w14:textId="77777777" w:rsidR="001F6557" w:rsidRPr="001F6557" w:rsidRDefault="001F6557" w:rsidP="001F6557">
      <w:pPr>
        <w:numPr>
          <w:ilvl w:val="0"/>
          <w:numId w:val="3"/>
        </w:numPr>
      </w:pPr>
      <w:r w:rsidRPr="001F6557">
        <w:rPr>
          <w:b/>
          <w:bCs/>
        </w:rPr>
        <w:t>Key metrics or statistical approaches:</w:t>
      </w:r>
      <w:r w:rsidRPr="001F6557">
        <w:t xml:space="preserve"> Target screening identifying a total of 77,815 putative </w:t>
      </w:r>
      <w:proofErr w:type="spellStart"/>
      <w:r w:rsidRPr="001F6557">
        <w:t>CAZyme</w:t>
      </w:r>
      <w:proofErr w:type="spellEnd"/>
      <w:r w:rsidRPr="001F6557">
        <w:t xml:space="preserve"> genes with functional domains across the confluence. Functional classification profiles highlight the absolute counts and percentages belonging to highly abundant structural families (such as GH and GT groups).</w:t>
      </w:r>
    </w:p>
    <w:p w14:paraId="333EA580" w14:textId="77777777" w:rsidR="001F6557" w:rsidRPr="001F6557" w:rsidRDefault="001F6557" w:rsidP="001F6557">
      <w:pPr>
        <w:rPr>
          <w:b/>
          <w:bCs/>
        </w:rPr>
      </w:pPr>
      <w:r w:rsidRPr="001F6557">
        <w:rPr>
          <w:b/>
          <w:bCs/>
        </w:rPr>
        <w:t>Lignocellulosic Biomass (LCB) Degradation Mapping</w:t>
      </w:r>
    </w:p>
    <w:p w14:paraId="055FF2C0" w14:textId="77777777" w:rsidR="001F6557" w:rsidRPr="001F6557" w:rsidRDefault="001F6557" w:rsidP="001F6557">
      <w:pPr>
        <w:numPr>
          <w:ilvl w:val="0"/>
          <w:numId w:val="4"/>
        </w:numPr>
      </w:pPr>
      <w:r w:rsidRPr="001F6557">
        <w:rPr>
          <w:b/>
          <w:bCs/>
        </w:rPr>
        <w:t>Tool(s):</w:t>
      </w:r>
      <w:r w:rsidRPr="001F6557">
        <w:t xml:space="preserve"> Sub-family mapping workflows partitioning specific industrial biocatalyst groups; script tools plotting functional family intersections.</w:t>
      </w:r>
    </w:p>
    <w:p w14:paraId="4CF05BA8" w14:textId="37B72741" w:rsidR="001F6557" w:rsidRPr="001F6557" w:rsidRDefault="001F6557" w:rsidP="001F6557">
      <w:pPr>
        <w:numPr>
          <w:ilvl w:val="0"/>
          <w:numId w:val="4"/>
        </w:numPr>
      </w:pPr>
      <w:r w:rsidRPr="001F6557">
        <w:rPr>
          <w:b/>
          <w:bCs/>
        </w:rPr>
        <w:t>Database(s):</w:t>
      </w:r>
      <w:r w:rsidRPr="001F6557">
        <w:t xml:space="preserve"> Curated profiles mapping LCB</w:t>
      </w:r>
      <w:r>
        <w:t xml:space="preserve"> </w:t>
      </w:r>
      <w:r w:rsidRPr="001F6557">
        <w:t>specific polymer families, specifically separating core pathways for cellulose, hemicellulose, lignin, and pectin breakdown.</w:t>
      </w:r>
    </w:p>
    <w:p w14:paraId="3BF926CE" w14:textId="77777777" w:rsidR="001F6557" w:rsidRPr="001F6557" w:rsidRDefault="001F6557" w:rsidP="001F6557">
      <w:pPr>
        <w:numPr>
          <w:ilvl w:val="0"/>
          <w:numId w:val="4"/>
        </w:numPr>
      </w:pPr>
      <w:r w:rsidRPr="001F6557">
        <w:rPr>
          <w:b/>
          <w:bCs/>
        </w:rPr>
        <w:t>Normalization:</w:t>
      </w:r>
      <w:r w:rsidRPr="001F6557">
        <w:t xml:space="preserve"> Functional subset abundances expressed as fractions or percentages of the total discovered </w:t>
      </w:r>
      <w:proofErr w:type="spellStart"/>
      <w:r w:rsidRPr="001F6557">
        <w:t>CAZyme</w:t>
      </w:r>
      <w:proofErr w:type="spellEnd"/>
      <w:r w:rsidRPr="001F6557">
        <w:t xml:space="preserve"> pool.</w:t>
      </w:r>
    </w:p>
    <w:p w14:paraId="60528074" w14:textId="77777777" w:rsidR="001F6557" w:rsidRPr="001F6557" w:rsidRDefault="001F6557" w:rsidP="001F6557">
      <w:pPr>
        <w:numPr>
          <w:ilvl w:val="0"/>
          <w:numId w:val="4"/>
        </w:numPr>
      </w:pPr>
      <w:r w:rsidRPr="001F6557">
        <w:rPr>
          <w:b/>
          <w:bCs/>
        </w:rPr>
        <w:t>Goal of the analysis:</w:t>
      </w:r>
      <w:r w:rsidRPr="001F6557">
        <w:t xml:space="preserve"> Characterize the specialized industrial potential of the river microbiome, tracking specific enzyme candidates optimized for pulp/paper processing and bioenergy </w:t>
      </w:r>
      <w:proofErr w:type="spellStart"/>
      <w:r w:rsidRPr="001F6557">
        <w:t>valorization</w:t>
      </w:r>
      <w:proofErr w:type="spellEnd"/>
      <w:r w:rsidRPr="001F6557">
        <w:t>.</w:t>
      </w:r>
    </w:p>
    <w:p w14:paraId="5816D741" w14:textId="77777777" w:rsidR="001F6557" w:rsidRPr="001F6557" w:rsidRDefault="001F6557" w:rsidP="001F6557">
      <w:pPr>
        <w:numPr>
          <w:ilvl w:val="0"/>
          <w:numId w:val="4"/>
        </w:numPr>
      </w:pPr>
      <w:r w:rsidRPr="001F6557">
        <w:rPr>
          <w:b/>
          <w:bCs/>
        </w:rPr>
        <w:t>Key metrics or statistical approaches:</w:t>
      </w:r>
      <w:r w:rsidRPr="001F6557">
        <w:t xml:space="preserve"> Identification indicating that ~41% of the total discovered river confluence </w:t>
      </w:r>
      <w:proofErr w:type="spellStart"/>
      <w:r w:rsidRPr="001F6557">
        <w:t>CAZymes</w:t>
      </w:r>
      <w:proofErr w:type="spellEnd"/>
      <w:r w:rsidRPr="001F6557">
        <w:t xml:space="preserve"> function explicitly as biocatalysts that cleave core LCB polymers (cellulose, hemicellulose, lignin, and pectin); tracking specialized enrichment profiles for </w:t>
      </w:r>
      <w:proofErr w:type="spellStart"/>
      <w:r w:rsidRPr="001F6557">
        <w:t>cellobiohistolases</w:t>
      </w:r>
      <w:proofErr w:type="spellEnd"/>
      <w:r w:rsidRPr="001F6557">
        <w:t>, endoglucanases, xylanases, and laccases/peroxidases driven by long-term industrial selection pressure.</w:t>
      </w:r>
    </w:p>
    <w:p w14:paraId="7F4CAEC7" w14:textId="540F38CE" w:rsidR="001F6557" w:rsidRPr="001F6557" w:rsidRDefault="001F6557" w:rsidP="001F6557">
      <w:pPr>
        <w:rPr>
          <w:b/>
          <w:bCs/>
        </w:rPr>
      </w:pPr>
      <w:r w:rsidRPr="001F6557">
        <w:rPr>
          <w:b/>
          <w:bCs/>
        </w:rPr>
        <w:t>Beta</w:t>
      </w:r>
      <w:r>
        <w:rPr>
          <w:b/>
          <w:bCs/>
        </w:rPr>
        <w:t xml:space="preserve"> </w:t>
      </w:r>
      <w:r w:rsidRPr="001F6557">
        <w:rPr>
          <w:b/>
          <w:bCs/>
        </w:rPr>
        <w:t>Diversity &amp; Community Ecology</w:t>
      </w:r>
    </w:p>
    <w:p w14:paraId="3BDA0426" w14:textId="77777777" w:rsidR="001F6557" w:rsidRPr="001F6557" w:rsidRDefault="001F6557" w:rsidP="001F6557">
      <w:pPr>
        <w:numPr>
          <w:ilvl w:val="0"/>
          <w:numId w:val="5"/>
        </w:numPr>
      </w:pPr>
      <w:r w:rsidRPr="001F6557">
        <w:rPr>
          <w:b/>
          <w:bCs/>
        </w:rPr>
        <w:t>Tool(s):</w:t>
      </w:r>
      <w:r w:rsidRPr="001F6557">
        <w:t xml:space="preserve"> R statistical environments using the vegan and </w:t>
      </w:r>
      <w:proofErr w:type="spellStart"/>
      <w:r w:rsidRPr="001F6557">
        <w:t>phyloseq</w:t>
      </w:r>
      <w:proofErr w:type="spellEnd"/>
      <w:r w:rsidRPr="001F6557">
        <w:t xml:space="preserve"> packages for multivariate layout generation; distance matrix calculation algorithms.</w:t>
      </w:r>
    </w:p>
    <w:p w14:paraId="35DE0963" w14:textId="77777777" w:rsidR="001F6557" w:rsidRPr="001F6557" w:rsidRDefault="001F6557" w:rsidP="001F6557">
      <w:pPr>
        <w:numPr>
          <w:ilvl w:val="0"/>
          <w:numId w:val="5"/>
        </w:numPr>
      </w:pPr>
      <w:r w:rsidRPr="001F6557">
        <w:rPr>
          <w:b/>
          <w:bCs/>
        </w:rPr>
        <w:t>Database(s):</w:t>
      </w:r>
      <w:r w:rsidRPr="001F6557">
        <w:t xml:space="preserve"> Geochemical and geographical metadata trackers; comparative reference metagenome datasets from alternative aquatic biomes.</w:t>
      </w:r>
    </w:p>
    <w:p w14:paraId="221ADDCE" w14:textId="58D7B608" w:rsidR="001F6557" w:rsidRPr="001F6557" w:rsidRDefault="001F6557" w:rsidP="001F6557">
      <w:pPr>
        <w:numPr>
          <w:ilvl w:val="0"/>
          <w:numId w:val="5"/>
        </w:numPr>
      </w:pPr>
      <w:r w:rsidRPr="001F6557">
        <w:rPr>
          <w:b/>
          <w:bCs/>
        </w:rPr>
        <w:t>Normalization:</w:t>
      </w:r>
      <w:r w:rsidRPr="001F6557">
        <w:t xml:space="preserve"> Hellinger transformations or </w:t>
      </w:r>
      <w:proofErr w:type="spellStart"/>
      <w:r w:rsidRPr="001F6557">
        <w:t>Centered</w:t>
      </w:r>
      <w:proofErr w:type="spellEnd"/>
      <w:r w:rsidRPr="001F6557">
        <w:t xml:space="preserve"> Log</w:t>
      </w:r>
      <w:r>
        <w:t xml:space="preserve"> </w:t>
      </w:r>
      <w:r w:rsidRPr="001F6557">
        <w:t xml:space="preserve">Ratio (CLR) adjustments applied onto </w:t>
      </w:r>
      <w:proofErr w:type="spellStart"/>
      <w:r w:rsidRPr="001F6557">
        <w:t>CAZyme</w:t>
      </w:r>
      <w:proofErr w:type="spellEnd"/>
      <w:r w:rsidRPr="001F6557">
        <w:t xml:space="preserve"> abundance contingency tables to reduce multi-site sampling variance.</w:t>
      </w:r>
    </w:p>
    <w:p w14:paraId="7BBBDC35" w14:textId="77777777" w:rsidR="001F6557" w:rsidRPr="001F6557" w:rsidRDefault="001F6557" w:rsidP="001F6557">
      <w:pPr>
        <w:numPr>
          <w:ilvl w:val="0"/>
          <w:numId w:val="5"/>
        </w:numPr>
      </w:pPr>
      <w:r w:rsidRPr="001F6557">
        <w:rPr>
          <w:b/>
          <w:bCs/>
        </w:rPr>
        <w:t>Goal of the analysis:</w:t>
      </w:r>
      <w:r w:rsidRPr="001F6557">
        <w:t xml:space="preserve"> Measure structural changes in the functional community across the mixing zone, determining if the confluence forms a unique functional ecosystem or cluster separate from upstream branches.</w:t>
      </w:r>
    </w:p>
    <w:p w14:paraId="70FBDC2E" w14:textId="77777777" w:rsidR="001F6557" w:rsidRPr="001F6557" w:rsidRDefault="001F6557" w:rsidP="001F6557">
      <w:pPr>
        <w:numPr>
          <w:ilvl w:val="0"/>
          <w:numId w:val="5"/>
        </w:numPr>
      </w:pPr>
      <w:r w:rsidRPr="001F6557">
        <w:rPr>
          <w:b/>
          <w:bCs/>
        </w:rPr>
        <w:t>Key metrics or statistical approaches:</w:t>
      </w:r>
      <w:r w:rsidRPr="001F6557">
        <w:t xml:space="preserve"> Beta diversity analysis establishing a significantly higher and unique </w:t>
      </w:r>
      <w:proofErr w:type="spellStart"/>
      <w:r w:rsidRPr="001F6557">
        <w:t>CAZyme</w:t>
      </w:r>
      <w:proofErr w:type="spellEnd"/>
      <w:r w:rsidRPr="001F6557">
        <w:t xml:space="preserve"> diversity signature directly at the confluence zone compared to separate upstream baseline channels; execution of Permutational Multivariate Analysis of Variance (PERMANOVA, 999 permutations) to statistically partition how much functional community variance is driven by industrial effluent pooling relative to background river flow dynamics.</w:t>
      </w:r>
    </w:p>
    <w:p w14:paraId="6081709D"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E0B0B"/>
    <w:multiLevelType w:val="multilevel"/>
    <w:tmpl w:val="98DE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F7801"/>
    <w:multiLevelType w:val="multilevel"/>
    <w:tmpl w:val="0FC2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A5C00"/>
    <w:multiLevelType w:val="multilevel"/>
    <w:tmpl w:val="83BA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E6119"/>
    <w:multiLevelType w:val="multilevel"/>
    <w:tmpl w:val="70D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56A34"/>
    <w:multiLevelType w:val="multilevel"/>
    <w:tmpl w:val="399C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561401">
    <w:abstractNumId w:val="0"/>
  </w:num>
  <w:num w:numId="2" w16cid:durableId="815949475">
    <w:abstractNumId w:val="4"/>
  </w:num>
  <w:num w:numId="3" w16cid:durableId="1669939455">
    <w:abstractNumId w:val="2"/>
  </w:num>
  <w:num w:numId="4" w16cid:durableId="1819569991">
    <w:abstractNumId w:val="1"/>
  </w:num>
  <w:num w:numId="5" w16cid:durableId="611324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557"/>
    <w:rsid w:val="000C3267"/>
    <w:rsid w:val="000C561C"/>
    <w:rsid w:val="001F6557"/>
    <w:rsid w:val="00227B78"/>
    <w:rsid w:val="007A7287"/>
    <w:rsid w:val="00850F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11AC"/>
  <w15:chartTrackingRefBased/>
  <w15:docId w15:val="{712B8737-40AC-488F-B44C-957C7CC52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5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5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5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5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5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5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5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5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5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5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557"/>
    <w:rPr>
      <w:rFonts w:eastAsiaTheme="majorEastAsia" w:cstheme="majorBidi"/>
      <w:color w:val="272727" w:themeColor="text1" w:themeTint="D8"/>
    </w:rPr>
  </w:style>
  <w:style w:type="paragraph" w:styleId="Title">
    <w:name w:val="Title"/>
    <w:basedOn w:val="Normal"/>
    <w:next w:val="Normal"/>
    <w:link w:val="TitleChar"/>
    <w:uiPriority w:val="10"/>
    <w:qFormat/>
    <w:rsid w:val="001F6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557"/>
    <w:pPr>
      <w:spacing w:before="160"/>
      <w:jc w:val="center"/>
    </w:pPr>
    <w:rPr>
      <w:i/>
      <w:iCs/>
      <w:color w:val="404040" w:themeColor="text1" w:themeTint="BF"/>
    </w:rPr>
  </w:style>
  <w:style w:type="character" w:customStyle="1" w:styleId="QuoteChar">
    <w:name w:val="Quote Char"/>
    <w:basedOn w:val="DefaultParagraphFont"/>
    <w:link w:val="Quote"/>
    <w:uiPriority w:val="29"/>
    <w:rsid w:val="001F6557"/>
    <w:rPr>
      <w:i/>
      <w:iCs/>
      <w:color w:val="404040" w:themeColor="text1" w:themeTint="BF"/>
    </w:rPr>
  </w:style>
  <w:style w:type="paragraph" w:styleId="ListParagraph">
    <w:name w:val="List Paragraph"/>
    <w:basedOn w:val="Normal"/>
    <w:uiPriority w:val="34"/>
    <w:qFormat/>
    <w:rsid w:val="001F6557"/>
    <w:pPr>
      <w:ind w:left="720"/>
      <w:contextualSpacing/>
    </w:pPr>
  </w:style>
  <w:style w:type="character" w:styleId="IntenseEmphasis">
    <w:name w:val="Intense Emphasis"/>
    <w:basedOn w:val="DefaultParagraphFont"/>
    <w:uiPriority w:val="21"/>
    <w:qFormat/>
    <w:rsid w:val="001F6557"/>
    <w:rPr>
      <w:i/>
      <w:iCs/>
      <w:color w:val="2F5496" w:themeColor="accent1" w:themeShade="BF"/>
    </w:rPr>
  </w:style>
  <w:style w:type="paragraph" w:styleId="IntenseQuote">
    <w:name w:val="Intense Quote"/>
    <w:basedOn w:val="Normal"/>
    <w:next w:val="Normal"/>
    <w:link w:val="IntenseQuoteChar"/>
    <w:uiPriority w:val="30"/>
    <w:qFormat/>
    <w:rsid w:val="001F65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557"/>
    <w:rPr>
      <w:i/>
      <w:iCs/>
      <w:color w:val="2F5496" w:themeColor="accent1" w:themeShade="BF"/>
    </w:rPr>
  </w:style>
  <w:style w:type="character" w:styleId="IntenseReference">
    <w:name w:val="Intense Reference"/>
    <w:basedOn w:val="DefaultParagraphFont"/>
    <w:uiPriority w:val="32"/>
    <w:qFormat/>
    <w:rsid w:val="001F6557"/>
    <w:rPr>
      <w:b/>
      <w:bCs/>
      <w:smallCaps/>
      <w:color w:val="2F5496" w:themeColor="accent1" w:themeShade="BF"/>
      <w:spacing w:val="5"/>
    </w:rPr>
  </w:style>
  <w:style w:type="character" w:styleId="Hyperlink">
    <w:name w:val="Hyperlink"/>
    <w:basedOn w:val="DefaultParagraphFont"/>
    <w:uiPriority w:val="99"/>
    <w:unhideWhenUsed/>
    <w:rsid w:val="001F6557"/>
    <w:rPr>
      <w:color w:val="0563C1" w:themeColor="hyperlink"/>
      <w:u w:val="single"/>
    </w:rPr>
  </w:style>
  <w:style w:type="character" w:styleId="UnresolvedMention">
    <w:name w:val="Unresolved Mention"/>
    <w:basedOn w:val="DefaultParagraphFont"/>
    <w:uiPriority w:val="99"/>
    <w:semiHidden/>
    <w:unhideWhenUsed/>
    <w:rsid w:val="001F6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7/s13205-022-0319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2026-06-24T11:30:00Z</dcterms:created>
  <dcterms:modified xsi:type="dcterms:W3CDTF">2026-06-24T11:32:00Z</dcterms:modified>
</cp:coreProperties>
</file>