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F1AF" w14:textId="77777777" w:rsidR="004A761D" w:rsidRPr="004A761D" w:rsidRDefault="004A761D" w:rsidP="004A761D">
      <w:pPr>
        <w:rPr>
          <w:b/>
          <w:bCs/>
          <w:sz w:val="36"/>
          <w:szCs w:val="36"/>
        </w:rPr>
      </w:pPr>
      <w:r w:rsidRPr="004A761D">
        <w:rPr>
          <w:b/>
          <w:bCs/>
          <w:sz w:val="36"/>
          <w:szCs w:val="36"/>
        </w:rPr>
        <w:t>Analysis Plan - SRP326744</w:t>
      </w:r>
    </w:p>
    <w:p w14:paraId="68678271" w14:textId="77777777" w:rsidR="004A761D" w:rsidRPr="004A761D" w:rsidRDefault="004A761D" w:rsidP="004A761D">
      <w:r w:rsidRPr="004A761D">
        <w:rPr>
          <w:b/>
          <w:bCs/>
        </w:rPr>
        <w:t>Study Accession:</w:t>
      </w:r>
      <w:r w:rsidRPr="004A761D">
        <w:t xml:space="preserve"> SRP326744 (SRA </w:t>
      </w:r>
      <w:proofErr w:type="spellStart"/>
      <w:r w:rsidRPr="004A761D">
        <w:t>BioProject</w:t>
      </w:r>
      <w:proofErr w:type="spellEnd"/>
      <w:r w:rsidRPr="004A761D">
        <w:t xml:space="preserve"> PRJNA739091 / Indian Hypersaline Lake Metagenome Curation)</w:t>
      </w:r>
    </w:p>
    <w:p w14:paraId="660407E8" w14:textId="77777777" w:rsidR="004A761D" w:rsidRPr="004A761D" w:rsidRDefault="004A761D" w:rsidP="004A761D">
      <w:r w:rsidRPr="004A761D">
        <w:rPr>
          <w:b/>
          <w:bCs/>
        </w:rPr>
        <w:t>Study Type:</w:t>
      </w:r>
      <w:r w:rsidRPr="004A761D">
        <w:t xml:space="preserve"> Extreme hypersaline microbiomics, halophilic adaptation, and functional metabolic mapping</w:t>
      </w:r>
    </w:p>
    <w:p w14:paraId="43B04DD6" w14:textId="369E160F" w:rsidR="004A761D" w:rsidRPr="004A761D" w:rsidRDefault="004A761D" w:rsidP="004A761D">
      <w:r w:rsidRPr="004A761D">
        <w:rPr>
          <w:b/>
          <w:bCs/>
        </w:rPr>
        <w:t>Sample Type:</w:t>
      </w:r>
      <w:r w:rsidRPr="004A761D">
        <w:t xml:space="preserve"> Hypersaline brine water and associated crystallizer sediment</w:t>
      </w:r>
      <w:r>
        <w:t xml:space="preserve"> </w:t>
      </w:r>
      <w:r w:rsidRPr="004A761D">
        <w:t>associated microbial matrices</w:t>
      </w:r>
    </w:p>
    <w:p w14:paraId="5DA6DC90" w14:textId="77777777" w:rsidR="004A761D" w:rsidRPr="004A761D" w:rsidRDefault="004A761D" w:rsidP="004A761D">
      <w:r w:rsidRPr="004A761D">
        <w:rPr>
          <w:b/>
          <w:bCs/>
        </w:rPr>
        <w:t>Associated Publications / DOIs:</w:t>
      </w:r>
    </w:p>
    <w:p w14:paraId="656867A3" w14:textId="77777777" w:rsidR="004A761D" w:rsidRPr="004A761D" w:rsidRDefault="004A761D" w:rsidP="004A761D">
      <w:pPr>
        <w:numPr>
          <w:ilvl w:val="0"/>
          <w:numId w:val="1"/>
        </w:numPr>
      </w:pPr>
      <w:r w:rsidRPr="004A761D">
        <w:t>Mehta et al., 2021 (</w:t>
      </w:r>
      <w:r w:rsidRPr="004A761D">
        <w:rPr>
          <w:i/>
          <w:iCs/>
        </w:rPr>
        <w:t xml:space="preserve">Front. </w:t>
      </w:r>
      <w:proofErr w:type="spellStart"/>
      <w:r w:rsidRPr="004A761D">
        <w:rPr>
          <w:i/>
          <w:iCs/>
        </w:rPr>
        <w:t>Microbiol</w:t>
      </w:r>
      <w:proofErr w:type="spellEnd"/>
      <w:r w:rsidRPr="004A761D">
        <w:rPr>
          <w:i/>
          <w:iCs/>
        </w:rPr>
        <w:t>.</w:t>
      </w:r>
      <w:r w:rsidRPr="004A761D">
        <w:t xml:space="preserve">): </w:t>
      </w:r>
      <w:hyperlink r:id="rId5" w:tgtFrame="_blank" w:history="1">
        <w:r w:rsidRPr="004A761D">
          <w:rPr>
            <w:rStyle w:val="Hyperlink"/>
          </w:rPr>
          <w:t>https://doi.org/10.3389/fmicb.2021.686549</w:t>
        </w:r>
      </w:hyperlink>
    </w:p>
    <w:p w14:paraId="715CC48F" w14:textId="289AE661" w:rsidR="004A761D" w:rsidRPr="004A761D" w:rsidRDefault="004A761D" w:rsidP="004A761D">
      <w:r w:rsidRPr="004A761D">
        <w:rPr>
          <w:b/>
          <w:bCs/>
        </w:rPr>
        <w:t>Study Design:</w:t>
      </w:r>
      <w:r w:rsidRPr="004A761D">
        <w:t xml:space="preserve"> Culture-independent exploration decoding the taxonomic structure, community assembly dynamics, and micro-environment-driven microbiome evolution of the extreme hypersaline Sambhar Salt Lake. Located in Rajasthan, India, this unique inland playa lake experiences seasonal shifts, heavy osmotic stress, and high alkalinity, serving as an exceptional natural habitat for checking halophilic survival boundaries. Total community environmental DNA extracted directly from high</w:t>
      </w:r>
      <w:r>
        <w:t xml:space="preserve"> </w:t>
      </w:r>
      <w:r w:rsidRPr="004A761D">
        <w:t>salinity water and crystal sediment cores was subjected to deep shotgun whole-metagenome sequencing on the Illumina platform (2</w:t>
      </w:r>
      <w:r>
        <w:t>*</w:t>
      </w:r>
      <w:r w:rsidRPr="004A761D">
        <w:t>150 bp paired</w:t>
      </w:r>
      <w:r>
        <w:t xml:space="preserve"> </w:t>
      </w:r>
      <w:r w:rsidRPr="004A761D">
        <w:t>end libraries). Downstream processing handles taxonomic profiling, functional subsystem analysis, and metabolic pathway reconstruction to discover mechanisms underpinning osmoregulation and biogeochemical cycling under extreme salinity.</w:t>
      </w:r>
    </w:p>
    <w:p w14:paraId="0EED94D1" w14:textId="77777777" w:rsidR="004A761D" w:rsidRPr="004A761D" w:rsidRDefault="004A761D" w:rsidP="004A761D">
      <w:pPr>
        <w:rPr>
          <w:b/>
          <w:bCs/>
        </w:rPr>
      </w:pPr>
      <w:r w:rsidRPr="004A761D">
        <w:rPr>
          <w:b/>
          <w:bCs/>
        </w:rPr>
        <w:t>Sequence Preprocessing &amp; Metagenomic Quality Checks</w:t>
      </w:r>
    </w:p>
    <w:p w14:paraId="4B72DAEF" w14:textId="5709C896" w:rsidR="004A761D" w:rsidRPr="004A761D" w:rsidRDefault="004A761D" w:rsidP="004A761D">
      <w:pPr>
        <w:numPr>
          <w:ilvl w:val="0"/>
          <w:numId w:val="2"/>
        </w:numPr>
      </w:pPr>
      <w:r w:rsidRPr="004A761D">
        <w:rPr>
          <w:b/>
          <w:bCs/>
        </w:rPr>
        <w:t>Tool(s):</w:t>
      </w:r>
      <w:r w:rsidRPr="004A761D">
        <w:t xml:space="preserve"> FastQC for initial raw read data quality evaluation; </w:t>
      </w:r>
      <w:proofErr w:type="spellStart"/>
      <w:r w:rsidRPr="004A761D">
        <w:t>Trimmomatic</w:t>
      </w:r>
      <w:proofErr w:type="spellEnd"/>
      <w:r w:rsidRPr="004A761D">
        <w:t xml:space="preserve"> or </w:t>
      </w:r>
      <w:proofErr w:type="spellStart"/>
      <w:r w:rsidRPr="004A761D">
        <w:t>fastp</w:t>
      </w:r>
      <w:proofErr w:type="spellEnd"/>
      <w:r w:rsidRPr="004A761D">
        <w:t xml:space="preserve"> for sliding-window adapter removal and </w:t>
      </w:r>
      <w:proofErr w:type="gramStart"/>
      <w:r w:rsidRPr="004A761D">
        <w:t>low</w:t>
      </w:r>
      <w:r>
        <w:t xml:space="preserve"> </w:t>
      </w:r>
      <w:r w:rsidRPr="004A761D">
        <w:t>quality</w:t>
      </w:r>
      <w:proofErr w:type="gramEnd"/>
      <w:r w:rsidRPr="004A761D">
        <w:t xml:space="preserve"> sequence clipping; </w:t>
      </w:r>
      <w:proofErr w:type="spellStart"/>
      <w:r w:rsidRPr="004A761D">
        <w:t>MultiQC</w:t>
      </w:r>
      <w:proofErr w:type="spellEnd"/>
      <w:r w:rsidRPr="004A761D">
        <w:t xml:space="preserve"> for quality report consolidation.</w:t>
      </w:r>
    </w:p>
    <w:p w14:paraId="1045E7D5" w14:textId="77777777" w:rsidR="004A761D" w:rsidRPr="004A761D" w:rsidRDefault="004A761D" w:rsidP="004A761D">
      <w:pPr>
        <w:numPr>
          <w:ilvl w:val="0"/>
          <w:numId w:val="2"/>
        </w:numPr>
      </w:pPr>
      <w:r w:rsidRPr="004A761D">
        <w:rPr>
          <w:b/>
          <w:bCs/>
        </w:rPr>
        <w:t>Database(s):</w:t>
      </w:r>
      <w:r w:rsidRPr="004A761D">
        <w:t xml:space="preserve"> Technical contaminant indexing suites for vector and adapter decontamination.</w:t>
      </w:r>
    </w:p>
    <w:p w14:paraId="64DB8428" w14:textId="1EF2B70B" w:rsidR="004A761D" w:rsidRPr="004A761D" w:rsidRDefault="004A761D" w:rsidP="004A761D">
      <w:pPr>
        <w:numPr>
          <w:ilvl w:val="0"/>
          <w:numId w:val="2"/>
        </w:numPr>
      </w:pPr>
      <w:r w:rsidRPr="004A761D">
        <w:rPr>
          <w:b/>
          <w:bCs/>
        </w:rPr>
        <w:t>Normalization:</w:t>
      </w:r>
      <w:r w:rsidRPr="004A761D">
        <w:t xml:space="preserve"> Read quality pipelines filtering out fragments falling below a strict Phred threshold score (Q</w:t>
      </w:r>
      <w:r>
        <w:t>&gt;</w:t>
      </w:r>
      <w:r w:rsidRPr="004A761D">
        <w:t>20/Q30) to reduce background noise from low</w:t>
      </w:r>
      <w:r>
        <w:t xml:space="preserve"> </w:t>
      </w:r>
      <w:r w:rsidRPr="004A761D">
        <w:t>biomass configurations.</w:t>
      </w:r>
    </w:p>
    <w:p w14:paraId="5469F20F" w14:textId="1C036069" w:rsidR="004A761D" w:rsidRPr="004A761D" w:rsidRDefault="004A761D" w:rsidP="004A761D">
      <w:pPr>
        <w:numPr>
          <w:ilvl w:val="0"/>
          <w:numId w:val="2"/>
        </w:numPr>
      </w:pPr>
      <w:r w:rsidRPr="004A761D">
        <w:rPr>
          <w:b/>
          <w:bCs/>
        </w:rPr>
        <w:t>Goal of the analysis:</w:t>
      </w:r>
      <w:r w:rsidRPr="004A761D">
        <w:t xml:space="preserve"> Clean high</w:t>
      </w:r>
      <w:r>
        <w:t xml:space="preserve"> </w:t>
      </w:r>
      <w:r w:rsidRPr="004A761D">
        <w:t xml:space="preserve">throughput sequencing reads and eliminate </w:t>
      </w:r>
      <w:proofErr w:type="spellStart"/>
      <w:r w:rsidRPr="004A761D">
        <w:t>artifactual</w:t>
      </w:r>
      <w:proofErr w:type="spellEnd"/>
      <w:r w:rsidRPr="004A761D">
        <w:t xml:space="preserve"> sequences, optimizing datasets for precise taxonomic matching and metabolic pathway exploration.</w:t>
      </w:r>
    </w:p>
    <w:p w14:paraId="7F780921" w14:textId="4A28B08B" w:rsidR="004A761D" w:rsidRPr="004A761D" w:rsidRDefault="004A761D" w:rsidP="004A761D">
      <w:pPr>
        <w:numPr>
          <w:ilvl w:val="0"/>
          <w:numId w:val="2"/>
        </w:numPr>
      </w:pPr>
      <w:r w:rsidRPr="004A761D">
        <w:rPr>
          <w:b/>
          <w:bCs/>
        </w:rPr>
        <w:t>Key metrics or statistical approaches:</w:t>
      </w:r>
      <w:r w:rsidRPr="004A761D">
        <w:t xml:space="preserve"> Tracking absolute raw sequencing yields, average read length variants (bp), post-filter clean sequence counts, and per</w:t>
      </w:r>
      <w:r>
        <w:t xml:space="preserve"> </w:t>
      </w:r>
      <w:r w:rsidRPr="004A761D">
        <w:t>base GC content distributions.</w:t>
      </w:r>
    </w:p>
    <w:p w14:paraId="3B033578" w14:textId="77777777" w:rsidR="004A761D" w:rsidRPr="004A761D" w:rsidRDefault="004A761D" w:rsidP="004A761D">
      <w:pPr>
        <w:rPr>
          <w:b/>
          <w:bCs/>
        </w:rPr>
      </w:pPr>
      <w:r w:rsidRPr="004A761D">
        <w:rPr>
          <w:b/>
          <w:bCs/>
        </w:rPr>
        <w:t>Taxonomic Profiling &amp; Hypersaline Diversity Analytics</w:t>
      </w:r>
    </w:p>
    <w:p w14:paraId="05270773" w14:textId="306C607F" w:rsidR="004A761D" w:rsidRPr="004A761D" w:rsidRDefault="004A761D" w:rsidP="004A761D">
      <w:pPr>
        <w:numPr>
          <w:ilvl w:val="0"/>
          <w:numId w:val="3"/>
        </w:numPr>
      </w:pPr>
      <w:r w:rsidRPr="004A761D">
        <w:rPr>
          <w:b/>
          <w:bCs/>
        </w:rPr>
        <w:t>Tool(s):</w:t>
      </w:r>
      <w:r w:rsidRPr="004A761D">
        <w:t xml:space="preserve"> MG-RAST pipeline framework (v4.0.3) for automated read sequence annotation; KRAKEN2 or </w:t>
      </w:r>
      <w:proofErr w:type="spellStart"/>
      <w:r w:rsidRPr="004A761D">
        <w:t>MetaPhlAn</w:t>
      </w:r>
      <w:proofErr w:type="spellEnd"/>
      <w:r w:rsidRPr="004A761D">
        <w:t xml:space="preserve"> for alignment</w:t>
      </w:r>
      <w:r>
        <w:t xml:space="preserve"> </w:t>
      </w:r>
      <w:r w:rsidRPr="004A761D">
        <w:t xml:space="preserve">free taxonomy assignment; Krona tools for interactive hierarchical composition plots; Vegan and </w:t>
      </w:r>
      <w:proofErr w:type="spellStart"/>
      <w:r w:rsidRPr="004A761D">
        <w:t>phyloseq</w:t>
      </w:r>
      <w:proofErr w:type="spellEnd"/>
      <w:r w:rsidRPr="004A761D">
        <w:t xml:space="preserve"> R packages for biodiversity calculations.</w:t>
      </w:r>
    </w:p>
    <w:p w14:paraId="45558BDC" w14:textId="0C8D1E14" w:rsidR="004A761D" w:rsidRPr="004A761D" w:rsidRDefault="004A761D" w:rsidP="004A761D">
      <w:pPr>
        <w:numPr>
          <w:ilvl w:val="0"/>
          <w:numId w:val="3"/>
        </w:numPr>
      </w:pPr>
      <w:r w:rsidRPr="004A761D">
        <w:rPr>
          <w:b/>
          <w:bCs/>
        </w:rPr>
        <w:t>Database(s):</w:t>
      </w:r>
      <w:r w:rsidRPr="004A761D">
        <w:t xml:space="preserve"> M5nr non</w:t>
      </w:r>
      <w:r>
        <w:t xml:space="preserve"> </w:t>
      </w:r>
      <w:r w:rsidRPr="004A761D">
        <w:t xml:space="preserve">redundant database; NCBI </w:t>
      </w:r>
      <w:proofErr w:type="spellStart"/>
      <w:r w:rsidRPr="004A761D">
        <w:t>RefSeq</w:t>
      </w:r>
      <w:proofErr w:type="spellEnd"/>
      <w:r w:rsidRPr="004A761D">
        <w:t xml:space="preserve"> microbial genomics reference library; SILVA SSU database collection.</w:t>
      </w:r>
    </w:p>
    <w:p w14:paraId="7DE362E4" w14:textId="5A12FAC2" w:rsidR="004A761D" w:rsidRPr="004A761D" w:rsidRDefault="004A761D" w:rsidP="004A761D">
      <w:pPr>
        <w:numPr>
          <w:ilvl w:val="0"/>
          <w:numId w:val="3"/>
        </w:numPr>
      </w:pPr>
      <w:r w:rsidRPr="004A761D">
        <w:rPr>
          <w:b/>
          <w:bCs/>
        </w:rPr>
        <w:lastRenderedPageBreak/>
        <w:t>Normalization:</w:t>
      </w:r>
      <w:r w:rsidRPr="004A761D">
        <w:t xml:space="preserve"> Read count alignment profiles scaled into uniform relative abundance percentages to handle cross</w:t>
      </w:r>
      <w:r>
        <w:t xml:space="preserve"> </w:t>
      </w:r>
      <w:r w:rsidRPr="004A761D">
        <w:t>sample sequencing depth imbalances.</w:t>
      </w:r>
    </w:p>
    <w:p w14:paraId="1755BB38" w14:textId="77777777" w:rsidR="004A761D" w:rsidRPr="004A761D" w:rsidRDefault="004A761D" w:rsidP="004A761D">
      <w:pPr>
        <w:numPr>
          <w:ilvl w:val="0"/>
          <w:numId w:val="3"/>
        </w:numPr>
      </w:pPr>
      <w:r w:rsidRPr="004A761D">
        <w:rPr>
          <w:b/>
          <w:bCs/>
        </w:rPr>
        <w:t>Goal of the analysis:</w:t>
      </w:r>
      <w:r w:rsidRPr="004A761D">
        <w:t xml:space="preserve"> Profile the primary core bacteriome and </w:t>
      </w:r>
      <w:proofErr w:type="spellStart"/>
      <w:r w:rsidRPr="004A761D">
        <w:t>archaeome</w:t>
      </w:r>
      <w:proofErr w:type="spellEnd"/>
      <w:r w:rsidRPr="004A761D">
        <w:t xml:space="preserve"> distribution patterns of the lake, establishing the community equilibrium between the </w:t>
      </w:r>
      <w:proofErr w:type="spellStart"/>
      <w:r w:rsidRPr="004A761D">
        <w:t>Halobacteria</w:t>
      </w:r>
      <w:proofErr w:type="spellEnd"/>
      <w:r w:rsidRPr="004A761D">
        <w:t xml:space="preserve"> domain and halotolerant bacterial lineages.</w:t>
      </w:r>
    </w:p>
    <w:p w14:paraId="4EFC0685" w14:textId="77777777" w:rsidR="004A761D" w:rsidRPr="004A761D" w:rsidRDefault="004A761D" w:rsidP="004A761D">
      <w:pPr>
        <w:numPr>
          <w:ilvl w:val="0"/>
          <w:numId w:val="3"/>
        </w:numPr>
      </w:pPr>
      <w:r w:rsidRPr="004A761D">
        <w:rPr>
          <w:b/>
          <w:bCs/>
        </w:rPr>
        <w:t>Key metrics or statistical approaches:</w:t>
      </w:r>
      <w:r w:rsidRPr="004A761D">
        <w:t xml:space="preserve"> Quantitative estimation of taxonomic dominance, highlighting the relative proportions of halophilic </w:t>
      </w:r>
      <w:proofErr w:type="spellStart"/>
      <w:r w:rsidRPr="004A761D">
        <w:t>Euryarchaeota</w:t>
      </w:r>
      <w:proofErr w:type="spellEnd"/>
      <w:r w:rsidRPr="004A761D">
        <w:t xml:space="preserve"> (</w:t>
      </w:r>
      <w:proofErr w:type="spellStart"/>
      <w:r w:rsidRPr="004A761D">
        <w:rPr>
          <w:i/>
          <w:iCs/>
        </w:rPr>
        <w:t>Halobacteria</w:t>
      </w:r>
      <w:proofErr w:type="spellEnd"/>
      <w:r w:rsidRPr="004A761D">
        <w:t xml:space="preserve">) alongside specialized bacterial groups such as </w:t>
      </w:r>
      <w:r w:rsidRPr="004A761D">
        <w:rPr>
          <w:i/>
          <w:iCs/>
        </w:rPr>
        <w:t>Bacteroidetes</w:t>
      </w:r>
      <w:r w:rsidRPr="004A761D">
        <w:t xml:space="preserve">, </w:t>
      </w:r>
      <w:r w:rsidRPr="004A761D">
        <w:rPr>
          <w:i/>
          <w:iCs/>
        </w:rPr>
        <w:t>Proteobacteria</w:t>
      </w:r>
      <w:r w:rsidRPr="004A761D">
        <w:t xml:space="preserve">, and </w:t>
      </w:r>
      <w:r w:rsidRPr="004A761D">
        <w:rPr>
          <w:i/>
          <w:iCs/>
        </w:rPr>
        <w:t>Firmicutes</w:t>
      </w:r>
      <w:r w:rsidRPr="004A761D">
        <w:t xml:space="preserve">; calculating alpha diversity indicators (Shannon entropy, Simpson indices, and Chao1 richness scores) and </w:t>
      </w:r>
      <w:proofErr w:type="spellStart"/>
      <w:r w:rsidRPr="004A761D">
        <w:t>modeling</w:t>
      </w:r>
      <w:proofErr w:type="spellEnd"/>
      <w:r w:rsidRPr="004A761D">
        <w:t xml:space="preserve"> beta diversity dissimilarity matrices via multi-dimensional scaling projection lines.</w:t>
      </w:r>
    </w:p>
    <w:p w14:paraId="3592F87B" w14:textId="77777777" w:rsidR="004A761D" w:rsidRPr="004A761D" w:rsidRDefault="004A761D" w:rsidP="004A761D">
      <w:pPr>
        <w:rPr>
          <w:b/>
          <w:bCs/>
        </w:rPr>
      </w:pPr>
      <w:r w:rsidRPr="004A761D">
        <w:rPr>
          <w:b/>
          <w:bCs/>
        </w:rPr>
        <w:t>Osmoregulation Strategies &amp; Halophilic Adaptation</w:t>
      </w:r>
    </w:p>
    <w:p w14:paraId="62534A31" w14:textId="77777777" w:rsidR="004A761D" w:rsidRPr="004A761D" w:rsidRDefault="004A761D" w:rsidP="004A761D">
      <w:pPr>
        <w:numPr>
          <w:ilvl w:val="0"/>
          <w:numId w:val="4"/>
        </w:numPr>
      </w:pPr>
      <w:r w:rsidRPr="004A761D">
        <w:rPr>
          <w:b/>
          <w:bCs/>
        </w:rPr>
        <w:t>Tool(s):</w:t>
      </w:r>
      <w:r w:rsidRPr="004A761D">
        <w:t xml:space="preserve"> </w:t>
      </w:r>
      <w:proofErr w:type="spellStart"/>
      <w:r w:rsidRPr="004A761D">
        <w:t>MetaGeneMark</w:t>
      </w:r>
      <w:proofErr w:type="spellEnd"/>
      <w:r w:rsidRPr="004A761D">
        <w:t xml:space="preserve"> or Prodigal for </w:t>
      </w:r>
      <w:r w:rsidRPr="004A761D">
        <w:rPr>
          <w:i/>
          <w:iCs/>
        </w:rPr>
        <w:t>ab-initio</w:t>
      </w:r>
      <w:r w:rsidRPr="004A761D">
        <w:t xml:space="preserve"> open reading frame (ORF) and gene prediction directly from clean reads; </w:t>
      </w:r>
      <w:proofErr w:type="spellStart"/>
      <w:r w:rsidRPr="004A761D">
        <w:t>HUMAnN</w:t>
      </w:r>
      <w:proofErr w:type="spellEnd"/>
      <w:r w:rsidRPr="004A761D">
        <w:t xml:space="preserve"> or </w:t>
      </w:r>
      <w:proofErr w:type="spellStart"/>
      <w:r w:rsidRPr="004A761D">
        <w:t>eggNOG</w:t>
      </w:r>
      <w:proofErr w:type="spellEnd"/>
      <w:r w:rsidRPr="004A761D">
        <w:t>-mapper pipelines for functional gene annotation and metabolic module reconstruction.</w:t>
      </w:r>
    </w:p>
    <w:p w14:paraId="30522CE4" w14:textId="77777777" w:rsidR="004A761D" w:rsidRPr="004A761D" w:rsidRDefault="004A761D" w:rsidP="004A761D">
      <w:pPr>
        <w:numPr>
          <w:ilvl w:val="0"/>
          <w:numId w:val="4"/>
        </w:numPr>
      </w:pPr>
      <w:r w:rsidRPr="004A761D">
        <w:rPr>
          <w:b/>
          <w:bCs/>
        </w:rPr>
        <w:t>Database(s):</w:t>
      </w:r>
      <w:r w:rsidRPr="004A761D">
        <w:t xml:space="preserve"> KEGG </w:t>
      </w:r>
      <w:proofErr w:type="spellStart"/>
      <w:r w:rsidRPr="004A761D">
        <w:t>Orthology</w:t>
      </w:r>
      <w:proofErr w:type="spellEnd"/>
      <w:r w:rsidRPr="004A761D">
        <w:t xml:space="preserve"> (KO) database; SEED Subsystems database hierarchies.</w:t>
      </w:r>
    </w:p>
    <w:p w14:paraId="5B9100AA" w14:textId="77777777" w:rsidR="004A761D" w:rsidRPr="004A761D" w:rsidRDefault="004A761D" w:rsidP="004A761D">
      <w:pPr>
        <w:numPr>
          <w:ilvl w:val="0"/>
          <w:numId w:val="4"/>
        </w:numPr>
      </w:pPr>
      <w:r w:rsidRPr="004A761D">
        <w:rPr>
          <w:b/>
          <w:bCs/>
        </w:rPr>
        <w:t>Normalization:</w:t>
      </w:r>
      <w:r w:rsidRPr="004A761D">
        <w:t xml:space="preserve"> Functional </w:t>
      </w:r>
      <w:proofErr w:type="spellStart"/>
      <w:r w:rsidRPr="004A761D">
        <w:t>orthology</w:t>
      </w:r>
      <w:proofErr w:type="spellEnd"/>
      <w:r w:rsidRPr="004A761D">
        <w:t xml:space="preserve"> gene counts length-normalized and evaluated as direct percentage fractions of total predicted metabolic profiles to distinguish adaptive features.</w:t>
      </w:r>
    </w:p>
    <w:p w14:paraId="64D371CA" w14:textId="77777777" w:rsidR="004A761D" w:rsidRPr="004A761D" w:rsidRDefault="004A761D" w:rsidP="004A761D">
      <w:pPr>
        <w:numPr>
          <w:ilvl w:val="0"/>
          <w:numId w:val="4"/>
        </w:numPr>
      </w:pPr>
      <w:r w:rsidRPr="004A761D">
        <w:rPr>
          <w:b/>
          <w:bCs/>
        </w:rPr>
        <w:t>Goal of the analysis:</w:t>
      </w:r>
      <w:r w:rsidRPr="004A761D">
        <w:t xml:space="preserve"> Detail the genetic machinery governing cellular survival under extreme saturation, tracking the balance between the "salt-in" strategy vs. the biosynthesis of organic compatible solutes ("salt-out").</w:t>
      </w:r>
    </w:p>
    <w:p w14:paraId="1EC15223" w14:textId="177CD2D6" w:rsidR="004A761D" w:rsidRPr="004A761D" w:rsidRDefault="004A761D" w:rsidP="004A761D">
      <w:pPr>
        <w:numPr>
          <w:ilvl w:val="0"/>
          <w:numId w:val="4"/>
        </w:numPr>
      </w:pPr>
      <w:r w:rsidRPr="004A761D">
        <w:rPr>
          <w:b/>
          <w:bCs/>
        </w:rPr>
        <w:t>Key metrics or statistical approaches:</w:t>
      </w:r>
      <w:r w:rsidRPr="004A761D">
        <w:t xml:space="preserve"> Mapping the presence, abundance, and path completeness of gene networks encoding potassium transport machinery (e.g., </w:t>
      </w:r>
      <w:proofErr w:type="spellStart"/>
      <w:r w:rsidRPr="004A761D">
        <w:rPr>
          <w:i/>
          <w:iCs/>
        </w:rPr>
        <w:t>kdpABC</w:t>
      </w:r>
      <w:proofErr w:type="spellEnd"/>
      <w:r w:rsidRPr="004A761D">
        <w:t xml:space="preserve"> operon complexes and </w:t>
      </w:r>
      <w:proofErr w:type="spellStart"/>
      <w:r w:rsidRPr="004A761D">
        <w:rPr>
          <w:i/>
          <w:iCs/>
        </w:rPr>
        <w:t>trkA</w:t>
      </w:r>
      <w:proofErr w:type="spellEnd"/>
      <w:r w:rsidRPr="004A761D">
        <w:t xml:space="preserve"> transporters) </w:t>
      </w:r>
      <w:proofErr w:type="spellStart"/>
      <w:r w:rsidRPr="004A761D">
        <w:t>fueling</w:t>
      </w:r>
      <w:proofErr w:type="spellEnd"/>
      <w:r w:rsidRPr="004A761D">
        <w:t xml:space="preserve"> the salt</w:t>
      </w:r>
      <w:r>
        <w:t xml:space="preserve"> </w:t>
      </w:r>
      <w:r w:rsidRPr="004A761D">
        <w:t xml:space="preserve">in strategy; tracking biosynthetic cascades for compatible organic osmolytes, including betaine, </w:t>
      </w:r>
      <w:proofErr w:type="spellStart"/>
      <w:r w:rsidRPr="004A761D">
        <w:t>ectoine</w:t>
      </w:r>
      <w:proofErr w:type="spellEnd"/>
      <w:r w:rsidRPr="004A761D">
        <w:t>, glycine, trehalose, and proline, to define habitat</w:t>
      </w:r>
      <w:r>
        <w:t xml:space="preserve"> </w:t>
      </w:r>
      <w:r w:rsidRPr="004A761D">
        <w:t>specific microbiome adaptation trajectories.</w:t>
      </w:r>
    </w:p>
    <w:p w14:paraId="7978D6F0" w14:textId="77777777" w:rsidR="004A761D" w:rsidRPr="004A761D" w:rsidRDefault="004A761D" w:rsidP="004A761D">
      <w:pPr>
        <w:rPr>
          <w:b/>
          <w:bCs/>
        </w:rPr>
      </w:pPr>
      <w:r w:rsidRPr="004A761D">
        <w:rPr>
          <w:b/>
          <w:bCs/>
        </w:rPr>
        <w:t>Biogeochemical Cycling &amp; Stress Response Networks</w:t>
      </w:r>
    </w:p>
    <w:p w14:paraId="2BDAA74E" w14:textId="77777777" w:rsidR="004A761D" w:rsidRPr="004A761D" w:rsidRDefault="004A761D" w:rsidP="004A761D">
      <w:pPr>
        <w:numPr>
          <w:ilvl w:val="0"/>
          <w:numId w:val="5"/>
        </w:numPr>
      </w:pPr>
      <w:r w:rsidRPr="004A761D">
        <w:rPr>
          <w:b/>
          <w:bCs/>
        </w:rPr>
        <w:t>Tool(s):</w:t>
      </w:r>
      <w:r w:rsidRPr="004A761D">
        <w:t xml:space="preserve"> SEED Subsystem functional hierarchy tree calculators; DRAM or METABOLIC pipeline architectures for scoring biochemical module completeness.</w:t>
      </w:r>
    </w:p>
    <w:p w14:paraId="7E512762" w14:textId="77777777" w:rsidR="004A761D" w:rsidRPr="004A761D" w:rsidRDefault="004A761D" w:rsidP="004A761D">
      <w:pPr>
        <w:numPr>
          <w:ilvl w:val="0"/>
          <w:numId w:val="5"/>
        </w:numPr>
      </w:pPr>
      <w:r w:rsidRPr="004A761D">
        <w:rPr>
          <w:b/>
          <w:bCs/>
        </w:rPr>
        <w:t>Database(s):</w:t>
      </w:r>
      <w:r w:rsidRPr="004A761D">
        <w:t xml:space="preserve"> SEED Subsystems database; Kyoto </w:t>
      </w:r>
      <w:proofErr w:type="spellStart"/>
      <w:r w:rsidRPr="004A761D">
        <w:t>Encyclopedia</w:t>
      </w:r>
      <w:proofErr w:type="spellEnd"/>
      <w:r w:rsidRPr="004A761D">
        <w:t xml:space="preserve"> of Genes and Genomes (KEGG) mapping biogeochemical fluxes.</w:t>
      </w:r>
    </w:p>
    <w:p w14:paraId="0A60E8D2" w14:textId="6914214F" w:rsidR="004A761D" w:rsidRPr="004A761D" w:rsidRDefault="004A761D" w:rsidP="004A761D">
      <w:pPr>
        <w:numPr>
          <w:ilvl w:val="0"/>
          <w:numId w:val="5"/>
        </w:numPr>
      </w:pPr>
      <w:r w:rsidRPr="004A761D">
        <w:rPr>
          <w:b/>
          <w:bCs/>
        </w:rPr>
        <w:t>Normalization:</w:t>
      </w:r>
      <w:r w:rsidRPr="004A761D">
        <w:t xml:space="preserve"> Count totals of verified metabolic pathway </w:t>
      </w:r>
      <w:proofErr w:type="gramStart"/>
      <w:r w:rsidRPr="004A761D">
        <w:t>reads</w:t>
      </w:r>
      <w:proofErr w:type="gramEnd"/>
      <w:r w:rsidRPr="004A761D">
        <w:t xml:space="preserve"> length-normalized and expressed relative to total library sequencing constants or homeostatic household chromosomal single</w:t>
      </w:r>
      <w:r>
        <w:t xml:space="preserve"> </w:t>
      </w:r>
      <w:r w:rsidRPr="004A761D">
        <w:t>copy reference flags.</w:t>
      </w:r>
    </w:p>
    <w:p w14:paraId="42D06A79" w14:textId="77777777" w:rsidR="004A761D" w:rsidRPr="004A761D" w:rsidRDefault="004A761D" w:rsidP="004A761D">
      <w:pPr>
        <w:numPr>
          <w:ilvl w:val="0"/>
          <w:numId w:val="5"/>
        </w:numPr>
      </w:pPr>
      <w:r w:rsidRPr="004A761D">
        <w:rPr>
          <w:b/>
          <w:bCs/>
        </w:rPr>
        <w:t>Goal of the analysis:</w:t>
      </w:r>
      <w:r w:rsidRPr="004A761D">
        <w:t xml:space="preserve"> Reconstruct functional metabolic networks driving biogeochemical cycles (carbon, nitrogen, </w:t>
      </w:r>
      <w:proofErr w:type="spellStart"/>
      <w:r w:rsidRPr="004A761D">
        <w:t>sulfur</w:t>
      </w:r>
      <w:proofErr w:type="spellEnd"/>
      <w:r w:rsidRPr="004A761D">
        <w:t>) in saline sinks, alongside mapping protective cellular stress cascades.</w:t>
      </w:r>
    </w:p>
    <w:p w14:paraId="509187E9" w14:textId="1F3275F2" w:rsidR="004A761D" w:rsidRPr="004A761D" w:rsidRDefault="004A761D" w:rsidP="004A761D">
      <w:pPr>
        <w:numPr>
          <w:ilvl w:val="0"/>
          <w:numId w:val="5"/>
        </w:numPr>
      </w:pPr>
      <w:r w:rsidRPr="004A761D">
        <w:rPr>
          <w:b/>
          <w:bCs/>
        </w:rPr>
        <w:t>Key metrics or statistical approaches:</w:t>
      </w:r>
      <w:r w:rsidRPr="004A761D">
        <w:t xml:space="preserve"> Documenting completeness metrics for autotrophic carbon fixation loops and nutrient management models; mapping functional cascades for dissimilatory </w:t>
      </w:r>
      <w:proofErr w:type="spellStart"/>
      <w:r w:rsidRPr="004A761D">
        <w:t>sulfate</w:t>
      </w:r>
      <w:proofErr w:type="spellEnd"/>
      <w:r w:rsidRPr="004A761D">
        <w:t xml:space="preserve"> reduction, </w:t>
      </w:r>
      <w:proofErr w:type="spellStart"/>
      <w:r w:rsidRPr="004A761D">
        <w:t>sulfur</w:t>
      </w:r>
      <w:proofErr w:type="spellEnd"/>
      <w:r w:rsidRPr="004A761D">
        <w:t xml:space="preserve"> oxidation, and nitrogen transformations </w:t>
      </w:r>
      <w:r w:rsidRPr="004A761D">
        <w:lastRenderedPageBreak/>
        <w:t xml:space="preserve">(ammonification, denitrification) in hypersaline matrices; screening for specialized stress response profiles, including heat-shock/cold-shock chaperones, oxidative </w:t>
      </w:r>
      <w:proofErr w:type="spellStart"/>
      <w:r w:rsidRPr="004A761D">
        <w:t>defense</w:t>
      </w:r>
      <w:proofErr w:type="spellEnd"/>
      <w:r w:rsidRPr="004A761D">
        <w:t xml:space="preserve"> units (catalase, peroxidase, superoxide dismutase arrays), and multi</w:t>
      </w:r>
      <w:r>
        <w:t xml:space="preserve"> </w:t>
      </w:r>
      <w:r w:rsidRPr="004A761D">
        <w:t>drug/heavy metal efflux pumping complexes to evaluate extreme ecosystem functioning constraints.</w:t>
      </w:r>
    </w:p>
    <w:p w14:paraId="7E93AD00" w14:textId="77777777" w:rsidR="000C3267" w:rsidRDefault="000C3267"/>
    <w:sectPr w:rsidR="000C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631E6"/>
    <w:multiLevelType w:val="multilevel"/>
    <w:tmpl w:val="DDB4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95320"/>
    <w:multiLevelType w:val="multilevel"/>
    <w:tmpl w:val="6C22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F7774"/>
    <w:multiLevelType w:val="multilevel"/>
    <w:tmpl w:val="C75E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B48AD"/>
    <w:multiLevelType w:val="multilevel"/>
    <w:tmpl w:val="CDE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6E6D88"/>
    <w:multiLevelType w:val="multilevel"/>
    <w:tmpl w:val="89D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880647">
    <w:abstractNumId w:val="0"/>
  </w:num>
  <w:num w:numId="2" w16cid:durableId="239020089">
    <w:abstractNumId w:val="4"/>
  </w:num>
  <w:num w:numId="3" w16cid:durableId="954140419">
    <w:abstractNumId w:val="2"/>
  </w:num>
  <w:num w:numId="4" w16cid:durableId="50270787">
    <w:abstractNumId w:val="1"/>
  </w:num>
  <w:num w:numId="5" w16cid:durableId="1260218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61D"/>
    <w:rsid w:val="000C092D"/>
    <w:rsid w:val="000C3267"/>
    <w:rsid w:val="00227B78"/>
    <w:rsid w:val="004A761D"/>
    <w:rsid w:val="007A7287"/>
    <w:rsid w:val="00850F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2E9E2"/>
  <w15:chartTrackingRefBased/>
  <w15:docId w15:val="{0785AA01-9BD0-494E-A1C1-AA2AF6A1D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7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7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7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61D"/>
    <w:rPr>
      <w:rFonts w:eastAsiaTheme="majorEastAsia" w:cstheme="majorBidi"/>
      <w:color w:val="272727" w:themeColor="text1" w:themeTint="D8"/>
    </w:rPr>
  </w:style>
  <w:style w:type="paragraph" w:styleId="Title">
    <w:name w:val="Title"/>
    <w:basedOn w:val="Normal"/>
    <w:next w:val="Normal"/>
    <w:link w:val="TitleChar"/>
    <w:uiPriority w:val="10"/>
    <w:qFormat/>
    <w:rsid w:val="004A7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61D"/>
    <w:pPr>
      <w:spacing w:before="160"/>
      <w:jc w:val="center"/>
    </w:pPr>
    <w:rPr>
      <w:i/>
      <w:iCs/>
      <w:color w:val="404040" w:themeColor="text1" w:themeTint="BF"/>
    </w:rPr>
  </w:style>
  <w:style w:type="character" w:customStyle="1" w:styleId="QuoteChar">
    <w:name w:val="Quote Char"/>
    <w:basedOn w:val="DefaultParagraphFont"/>
    <w:link w:val="Quote"/>
    <w:uiPriority w:val="29"/>
    <w:rsid w:val="004A761D"/>
    <w:rPr>
      <w:i/>
      <w:iCs/>
      <w:color w:val="404040" w:themeColor="text1" w:themeTint="BF"/>
    </w:rPr>
  </w:style>
  <w:style w:type="paragraph" w:styleId="ListParagraph">
    <w:name w:val="List Paragraph"/>
    <w:basedOn w:val="Normal"/>
    <w:uiPriority w:val="34"/>
    <w:qFormat/>
    <w:rsid w:val="004A761D"/>
    <w:pPr>
      <w:ind w:left="720"/>
      <w:contextualSpacing/>
    </w:pPr>
  </w:style>
  <w:style w:type="character" w:styleId="IntenseEmphasis">
    <w:name w:val="Intense Emphasis"/>
    <w:basedOn w:val="DefaultParagraphFont"/>
    <w:uiPriority w:val="21"/>
    <w:qFormat/>
    <w:rsid w:val="004A761D"/>
    <w:rPr>
      <w:i/>
      <w:iCs/>
      <w:color w:val="2F5496" w:themeColor="accent1" w:themeShade="BF"/>
    </w:rPr>
  </w:style>
  <w:style w:type="paragraph" w:styleId="IntenseQuote">
    <w:name w:val="Intense Quote"/>
    <w:basedOn w:val="Normal"/>
    <w:next w:val="Normal"/>
    <w:link w:val="IntenseQuoteChar"/>
    <w:uiPriority w:val="30"/>
    <w:qFormat/>
    <w:rsid w:val="004A7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61D"/>
    <w:rPr>
      <w:i/>
      <w:iCs/>
      <w:color w:val="2F5496" w:themeColor="accent1" w:themeShade="BF"/>
    </w:rPr>
  </w:style>
  <w:style w:type="character" w:styleId="IntenseReference">
    <w:name w:val="Intense Reference"/>
    <w:basedOn w:val="DefaultParagraphFont"/>
    <w:uiPriority w:val="32"/>
    <w:qFormat/>
    <w:rsid w:val="004A761D"/>
    <w:rPr>
      <w:b/>
      <w:bCs/>
      <w:smallCaps/>
      <w:color w:val="2F5496" w:themeColor="accent1" w:themeShade="BF"/>
      <w:spacing w:val="5"/>
    </w:rPr>
  </w:style>
  <w:style w:type="character" w:styleId="Hyperlink">
    <w:name w:val="Hyperlink"/>
    <w:basedOn w:val="DefaultParagraphFont"/>
    <w:uiPriority w:val="99"/>
    <w:unhideWhenUsed/>
    <w:rsid w:val="004A761D"/>
    <w:rPr>
      <w:color w:val="0563C1" w:themeColor="hyperlink"/>
      <w:u w:val="single"/>
    </w:rPr>
  </w:style>
  <w:style w:type="character" w:styleId="UnresolvedMention">
    <w:name w:val="Unresolved Mention"/>
    <w:basedOn w:val="DefaultParagraphFont"/>
    <w:uiPriority w:val="99"/>
    <w:semiHidden/>
    <w:unhideWhenUsed/>
    <w:rsid w:val="004A76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doi.org/10.3389/fmicb.2021.68654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905</Words>
  <Characters>5160</Characters>
  <Application>Microsoft Office Word</Application>
  <DocSecurity>0</DocSecurity>
  <Lines>43</Lines>
  <Paragraphs>12</Paragraphs>
  <ScaleCrop>false</ScaleCrop>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1</cp:revision>
  <dcterms:created xsi:type="dcterms:W3CDTF">2026-06-25T17:27:00Z</dcterms:created>
  <dcterms:modified xsi:type="dcterms:W3CDTF">2026-06-25T17:30:00Z</dcterms:modified>
</cp:coreProperties>
</file>