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79E0" w14:textId="77777777" w:rsidR="007E78AE" w:rsidRPr="007E78AE" w:rsidRDefault="007E78AE" w:rsidP="007E78AE">
      <w:pPr>
        <w:rPr>
          <w:b/>
          <w:bCs/>
          <w:sz w:val="36"/>
          <w:szCs w:val="36"/>
        </w:rPr>
      </w:pPr>
      <w:r w:rsidRPr="007E78AE">
        <w:rPr>
          <w:b/>
          <w:bCs/>
          <w:sz w:val="36"/>
          <w:szCs w:val="36"/>
        </w:rPr>
        <w:t>Analysis Plan - SRP427385</w:t>
      </w:r>
    </w:p>
    <w:p w14:paraId="595B4683" w14:textId="77777777" w:rsidR="007E78AE" w:rsidRPr="007E78AE" w:rsidRDefault="007E78AE" w:rsidP="007E78AE">
      <w:r w:rsidRPr="007E78AE">
        <w:rPr>
          <w:b/>
          <w:bCs/>
        </w:rPr>
        <w:t>Study Accession:</w:t>
      </w:r>
      <w:r w:rsidRPr="007E78AE">
        <w:t xml:space="preserve"> SRP427385 (SRA </w:t>
      </w:r>
      <w:proofErr w:type="spellStart"/>
      <w:r w:rsidRPr="007E78AE">
        <w:t>BioProject</w:t>
      </w:r>
      <w:proofErr w:type="spellEnd"/>
      <w:r w:rsidRPr="007E78AE">
        <w:t xml:space="preserve"> PRJNA944920)</w:t>
      </w:r>
    </w:p>
    <w:p w14:paraId="1DACFC03" w14:textId="77777777" w:rsidR="007E78AE" w:rsidRPr="007E78AE" w:rsidRDefault="007E78AE" w:rsidP="007E78AE">
      <w:r w:rsidRPr="007E78AE">
        <w:rPr>
          <w:b/>
          <w:bCs/>
        </w:rPr>
        <w:t>Study Type:</w:t>
      </w:r>
      <w:r w:rsidRPr="007E78AE">
        <w:t xml:space="preserve"> Crop </w:t>
      </w:r>
      <w:proofErr w:type="spellStart"/>
      <w:r w:rsidRPr="007E78AE">
        <w:t>endosphere</w:t>
      </w:r>
      <w:proofErr w:type="spellEnd"/>
      <w:r w:rsidRPr="007E78AE">
        <w:t>/rhizosphere microbiomics, seed endophyte thermotolerance, and community-forming synthetic biology</w:t>
      </w:r>
    </w:p>
    <w:p w14:paraId="104CD290" w14:textId="77777777" w:rsidR="007E78AE" w:rsidRPr="007E78AE" w:rsidRDefault="007E78AE" w:rsidP="007E78AE">
      <w:r w:rsidRPr="007E78AE">
        <w:rPr>
          <w:b/>
          <w:bCs/>
        </w:rPr>
        <w:t>Sample Type:</w:t>
      </w:r>
      <w:r w:rsidRPr="007E78AE">
        <w:t xml:space="preserve"> Surface-sterilized wheat seeds, root </w:t>
      </w:r>
      <w:proofErr w:type="spellStart"/>
      <w:r w:rsidRPr="007E78AE">
        <w:t>endosphere</w:t>
      </w:r>
      <w:proofErr w:type="spellEnd"/>
      <w:r w:rsidRPr="007E78AE">
        <w:t xml:space="preserve">, and </w:t>
      </w:r>
      <w:proofErr w:type="spellStart"/>
      <w:r w:rsidRPr="007E78AE">
        <w:t>rhizospheric</w:t>
      </w:r>
      <w:proofErr w:type="spellEnd"/>
      <w:r w:rsidRPr="007E78AE">
        <w:t xml:space="preserve"> soil matrices collected across multi-site field trial grids in India</w:t>
      </w:r>
    </w:p>
    <w:p w14:paraId="6E369F1F" w14:textId="77777777" w:rsidR="007E78AE" w:rsidRPr="007E78AE" w:rsidRDefault="007E78AE" w:rsidP="007E78AE">
      <w:r w:rsidRPr="007E78AE">
        <w:rPr>
          <w:b/>
          <w:bCs/>
        </w:rPr>
        <w:t>Associated Publications / DOIs:</w:t>
      </w:r>
    </w:p>
    <w:p w14:paraId="40836D09" w14:textId="77777777" w:rsidR="007E78AE" w:rsidRPr="007E78AE" w:rsidRDefault="007E78AE" w:rsidP="007E78AE">
      <w:pPr>
        <w:numPr>
          <w:ilvl w:val="0"/>
          <w:numId w:val="1"/>
        </w:numPr>
      </w:pPr>
      <w:r w:rsidRPr="007E78AE">
        <w:t>Aswini et al., 2023 (</w:t>
      </w:r>
      <w:r w:rsidRPr="007E78AE">
        <w:rPr>
          <w:i/>
          <w:iCs/>
        </w:rPr>
        <w:t>Front. Plant Sci.</w:t>
      </w:r>
      <w:r w:rsidRPr="007E78AE">
        <w:t xml:space="preserve">): </w:t>
      </w:r>
      <w:hyperlink r:id="rId5" w:tgtFrame="_blank" w:history="1">
        <w:r w:rsidRPr="007E78AE">
          <w:rPr>
            <w:rStyle w:val="Hyperlink"/>
          </w:rPr>
          <w:t>https://doi.org/10.3389/fpis.2023.1101818</w:t>
        </w:r>
      </w:hyperlink>
    </w:p>
    <w:p w14:paraId="0CFAC704" w14:textId="77777777" w:rsidR="007E78AE" w:rsidRPr="007E78AE" w:rsidRDefault="007E78AE" w:rsidP="007E78AE">
      <w:pPr>
        <w:numPr>
          <w:ilvl w:val="0"/>
          <w:numId w:val="1"/>
        </w:numPr>
      </w:pPr>
      <w:r w:rsidRPr="007E78AE">
        <w:t>Pathak et al., 2024 (</w:t>
      </w:r>
      <w:r w:rsidRPr="007E78AE">
        <w:rPr>
          <w:i/>
          <w:iCs/>
        </w:rPr>
        <w:t>Front. Plant Sci.</w:t>
      </w:r>
      <w:r w:rsidRPr="007E78AE">
        <w:t xml:space="preserve">): </w:t>
      </w:r>
      <w:hyperlink r:id="rId6" w:tgtFrame="_blank" w:history="1">
        <w:r w:rsidRPr="007E78AE">
          <w:rPr>
            <w:rStyle w:val="Hyperlink"/>
          </w:rPr>
          <w:t>https://doi.org/10.3389/fpls.2024.1332745</w:t>
        </w:r>
      </w:hyperlink>
      <w:r w:rsidRPr="007E78AE">
        <w:t xml:space="preserve"> </w:t>
      </w:r>
      <w:r w:rsidRPr="007E78AE">
        <w:rPr>
          <w:i/>
          <w:iCs/>
        </w:rPr>
        <w:t>(Associated community-forming architecture sub-study)</w:t>
      </w:r>
    </w:p>
    <w:p w14:paraId="0BB1A8A4" w14:textId="58AA746B" w:rsidR="007E78AE" w:rsidRPr="007E78AE" w:rsidRDefault="007E78AE" w:rsidP="007E78AE">
      <w:r w:rsidRPr="007E78AE">
        <w:rPr>
          <w:b/>
          <w:bCs/>
        </w:rPr>
        <w:t>Study Design:</w:t>
      </w:r>
      <w:r w:rsidRPr="007E78AE">
        <w:t xml:space="preserve"> Comprehensive dual-method (culturable isolation and unculturable whole-genome shotgun metagenomics) evaluation characterizing the taxonomic composition, functional baseline attributes, and thermal stress mitigation potentials of the wheat seed </w:t>
      </w:r>
      <w:proofErr w:type="spellStart"/>
      <w:r w:rsidRPr="007E78AE">
        <w:t>endosphere</w:t>
      </w:r>
      <w:proofErr w:type="spellEnd"/>
      <w:r w:rsidRPr="007E78AE">
        <w:t xml:space="preserve"> microbiome. The experimental matrix targets wheat cultivars exhibiting contrasting heat sensitivity indices (HSIs)—explicitly tracking the heat</w:t>
      </w:r>
      <w:r>
        <w:t xml:space="preserve"> </w:t>
      </w:r>
      <w:r w:rsidRPr="007E78AE">
        <w:t>susceptible variety GW322 (HSI} = 1.26) against the heat</w:t>
      </w:r>
      <w:r>
        <w:t xml:space="preserve"> </w:t>
      </w:r>
      <w:r w:rsidRPr="007E78AE">
        <w:t>tolerant varieties HD3298 (HSI = 0.82) and HD3271 (HSI = 0.62). Total community genomic DNA extracted from surface-sterilized crop seeds was processed using high-throughput whole</w:t>
      </w:r>
      <w:r>
        <w:t xml:space="preserve"> </w:t>
      </w:r>
      <w:r w:rsidRPr="007E78AE">
        <w:t xml:space="preserve">metagenome shotgun sequencing on the Illumina </w:t>
      </w:r>
      <w:proofErr w:type="spellStart"/>
      <w:r w:rsidRPr="007E78AE">
        <w:t>HiSeq</w:t>
      </w:r>
      <w:proofErr w:type="spellEnd"/>
      <w:r w:rsidRPr="007E78AE">
        <w:t xml:space="preserve"> platform (</w:t>
      </w:r>
      <w:r>
        <w:t>2*</w:t>
      </w:r>
      <w:r w:rsidRPr="007E78AE">
        <w:t>150 bp paired chemistry) to decode the core structural landscape. This unculturable monitoring is directly integrated with a synthetic natural community (</w:t>
      </w:r>
      <w:proofErr w:type="spellStart"/>
      <w:r w:rsidRPr="007E78AE">
        <w:t>SynCom</w:t>
      </w:r>
      <w:proofErr w:type="spellEnd"/>
      <w:r w:rsidRPr="007E78AE">
        <w:t>) design phase where functional isolates are screened for community</w:t>
      </w:r>
      <w:r>
        <w:t xml:space="preserve"> </w:t>
      </w:r>
      <w:r w:rsidRPr="007E78AE">
        <w:t>forming traits (</w:t>
      </w:r>
      <w:proofErr w:type="spellStart"/>
      <w:r w:rsidRPr="007E78AE">
        <w:t>CFts</w:t>
      </w:r>
      <w:proofErr w:type="spellEnd"/>
      <w:r w:rsidRPr="007E78AE">
        <w:t>) like biofilm synthesis, exopolysaccharide (EPS) secretion, and motility to validate group colonization patterns under controlled microcosm setups.</w:t>
      </w:r>
    </w:p>
    <w:p w14:paraId="399F5A4B" w14:textId="77777777" w:rsidR="007E78AE" w:rsidRPr="007E78AE" w:rsidRDefault="007E78AE" w:rsidP="007E78AE">
      <w:pPr>
        <w:rPr>
          <w:b/>
          <w:bCs/>
        </w:rPr>
      </w:pPr>
      <w:r w:rsidRPr="007E78AE">
        <w:rPr>
          <w:b/>
          <w:bCs/>
        </w:rPr>
        <w:t>Culturable vs. Unculturable Seed Microbiome Profiling</w:t>
      </w:r>
    </w:p>
    <w:p w14:paraId="3157CA5C" w14:textId="77777777" w:rsidR="007E78AE" w:rsidRPr="007E78AE" w:rsidRDefault="007E78AE" w:rsidP="007E78AE">
      <w:pPr>
        <w:numPr>
          <w:ilvl w:val="0"/>
          <w:numId w:val="2"/>
        </w:numPr>
      </w:pPr>
      <w:r w:rsidRPr="007E78AE">
        <w:rPr>
          <w:b/>
          <w:bCs/>
        </w:rPr>
        <w:t>Tool(s):</w:t>
      </w:r>
      <w:r w:rsidRPr="007E78AE">
        <w:t xml:space="preserve"> MG-RAST pipeline framework for automated raw shotgun read preprocessing, quality trimming, and dereplication; R packages (ggplot2, </w:t>
      </w:r>
      <w:proofErr w:type="spellStart"/>
      <w:r w:rsidRPr="007E78AE">
        <w:t>phyloseq</w:t>
      </w:r>
      <w:proofErr w:type="spellEnd"/>
      <w:r w:rsidRPr="007E78AE">
        <w:t>) for taxonomic abundance heatmap generation.</w:t>
      </w:r>
    </w:p>
    <w:p w14:paraId="0FFB0078" w14:textId="77777777" w:rsidR="007E78AE" w:rsidRPr="007E78AE" w:rsidRDefault="007E78AE" w:rsidP="007E78AE">
      <w:pPr>
        <w:numPr>
          <w:ilvl w:val="0"/>
          <w:numId w:val="2"/>
        </w:numPr>
      </w:pPr>
      <w:r w:rsidRPr="007E78AE">
        <w:rPr>
          <w:b/>
          <w:bCs/>
        </w:rPr>
        <w:t>Database(s):</w:t>
      </w:r>
      <w:r w:rsidRPr="007E78AE">
        <w:t xml:space="preserve"> NCBI </w:t>
      </w:r>
      <w:proofErr w:type="spellStart"/>
      <w:r w:rsidRPr="007E78AE">
        <w:t>RefSeq</w:t>
      </w:r>
      <w:proofErr w:type="spellEnd"/>
      <w:r w:rsidRPr="007E78AE">
        <w:t xml:space="preserve"> non-redundant database for taxonomic assignment matching.</w:t>
      </w:r>
    </w:p>
    <w:p w14:paraId="2B4DB54A" w14:textId="05D659FF" w:rsidR="007E78AE" w:rsidRPr="007E78AE" w:rsidRDefault="007E78AE" w:rsidP="007E78AE">
      <w:pPr>
        <w:numPr>
          <w:ilvl w:val="0"/>
          <w:numId w:val="2"/>
        </w:numPr>
      </w:pPr>
      <w:r w:rsidRPr="007E78AE">
        <w:rPr>
          <w:b/>
          <w:bCs/>
        </w:rPr>
        <w:t>Normalization:</w:t>
      </w:r>
      <w:r w:rsidRPr="007E78AE">
        <w:t xml:space="preserve"> Raw sequence counts normalized to relative abundance percentages; culturable population abundance quantified as Colony Forming Units per gram baseline constants (</w:t>
      </w:r>
      <w:proofErr w:type="spellStart"/>
      <w:r w:rsidRPr="007E78AE">
        <w:t>cfu</w:t>
      </w:r>
      <w:proofErr w:type="spellEnd"/>
      <w:r w:rsidRPr="007E78AE">
        <w:t xml:space="preserve"> g</w:t>
      </w:r>
      <w:r w:rsidRPr="007E78AE">
        <w:rPr>
          <w:vertAlign w:val="superscript"/>
        </w:rPr>
        <w:t>-1</w:t>
      </w:r>
      <w:r w:rsidRPr="007E78AE">
        <w:t>).</w:t>
      </w:r>
    </w:p>
    <w:p w14:paraId="5F30AC7A" w14:textId="77777777" w:rsidR="007E78AE" w:rsidRPr="007E78AE" w:rsidRDefault="007E78AE" w:rsidP="007E78AE">
      <w:pPr>
        <w:numPr>
          <w:ilvl w:val="0"/>
          <w:numId w:val="2"/>
        </w:numPr>
      </w:pPr>
      <w:r w:rsidRPr="007E78AE">
        <w:rPr>
          <w:b/>
          <w:bCs/>
        </w:rPr>
        <w:t>Goal of the analysis:</w:t>
      </w:r>
      <w:r w:rsidRPr="007E78AE">
        <w:t xml:space="preserve"> Enumerate and classify the bacterial inhabitants of wheat seeds; evaluate compositional shifts between the culturable flora and total metagenomic sequencing footprints.</w:t>
      </w:r>
    </w:p>
    <w:p w14:paraId="6955A0EE" w14:textId="2304C97E" w:rsidR="007E78AE" w:rsidRPr="007E78AE" w:rsidRDefault="007E78AE" w:rsidP="007E78AE">
      <w:pPr>
        <w:numPr>
          <w:ilvl w:val="0"/>
          <w:numId w:val="2"/>
        </w:numPr>
      </w:pPr>
      <w:r w:rsidRPr="007E78AE">
        <w:rPr>
          <w:b/>
          <w:bCs/>
        </w:rPr>
        <w:t>Key metrics or statistical approaches:</w:t>
      </w:r>
      <w:r w:rsidRPr="007E78AE">
        <w:t xml:space="preserve"> Mapping the core seed microbiome, showing that </w:t>
      </w:r>
      <w:r w:rsidRPr="007E78AE">
        <w:rPr>
          <w:i/>
          <w:iCs/>
        </w:rPr>
        <w:t>Proteobacteria</w:t>
      </w:r>
      <w:r w:rsidRPr="007E78AE">
        <w:t xml:space="preserve"> dominate the unculturable metagenome (&gt;50% of total OTUs across all groups), followed by </w:t>
      </w:r>
      <w:r w:rsidRPr="007E78AE">
        <w:rPr>
          <w:i/>
          <w:iCs/>
        </w:rPr>
        <w:t>Firmicutes</w:t>
      </w:r>
      <w:r w:rsidRPr="007E78AE">
        <w:t xml:space="preserve"> and </w:t>
      </w:r>
      <w:r w:rsidRPr="007E78AE">
        <w:rPr>
          <w:i/>
          <w:iCs/>
        </w:rPr>
        <w:t>Actinobacteria</w:t>
      </w:r>
      <w:r w:rsidRPr="007E78AE">
        <w:t>. Conversely, culture</w:t>
      </w:r>
      <w:r>
        <w:t xml:space="preserve"> </w:t>
      </w:r>
      <w:r w:rsidRPr="007E78AE">
        <w:t xml:space="preserve">dependent plates reveal </w:t>
      </w:r>
      <w:r w:rsidRPr="007E78AE">
        <w:rPr>
          <w:i/>
          <w:iCs/>
        </w:rPr>
        <w:t>Bacillus</w:t>
      </w:r>
      <w:r w:rsidRPr="007E78AE">
        <w:t xml:space="preserve"> as the heavily dominant genus across all cultivars (~50% of culturable abundance) due to spore</w:t>
      </w:r>
      <w:r>
        <w:t xml:space="preserve"> </w:t>
      </w:r>
      <w:r w:rsidRPr="007E78AE">
        <w:t>forming survival mechanisms.</w:t>
      </w:r>
    </w:p>
    <w:p w14:paraId="2EE9B53B" w14:textId="77777777" w:rsidR="007E78AE" w:rsidRDefault="007E78AE" w:rsidP="007E78AE">
      <w:pPr>
        <w:rPr>
          <w:b/>
          <w:bCs/>
        </w:rPr>
      </w:pPr>
    </w:p>
    <w:p w14:paraId="150BB7C9" w14:textId="25DD1E8C" w:rsidR="007E78AE" w:rsidRPr="007E78AE" w:rsidRDefault="007E78AE" w:rsidP="007E78AE">
      <w:pPr>
        <w:rPr>
          <w:b/>
          <w:bCs/>
        </w:rPr>
      </w:pPr>
      <w:r w:rsidRPr="007E78AE">
        <w:rPr>
          <w:b/>
          <w:bCs/>
        </w:rPr>
        <w:lastRenderedPageBreak/>
        <w:t>Thermotolerance &amp; Stress</w:t>
      </w:r>
      <w:r>
        <w:rPr>
          <w:b/>
          <w:bCs/>
        </w:rPr>
        <w:t xml:space="preserve"> </w:t>
      </w:r>
      <w:r w:rsidRPr="007E78AE">
        <w:rPr>
          <w:b/>
          <w:bCs/>
        </w:rPr>
        <w:t>Resilience Phenotyping</w:t>
      </w:r>
    </w:p>
    <w:p w14:paraId="7D964E04" w14:textId="77777777" w:rsidR="007E78AE" w:rsidRPr="007E78AE" w:rsidRDefault="007E78AE" w:rsidP="007E78AE">
      <w:pPr>
        <w:numPr>
          <w:ilvl w:val="0"/>
          <w:numId w:val="3"/>
        </w:numPr>
      </w:pPr>
      <w:r w:rsidRPr="007E78AE">
        <w:rPr>
          <w:b/>
          <w:bCs/>
        </w:rPr>
        <w:t>Tool(s):</w:t>
      </w:r>
      <w:r w:rsidRPr="007E78AE">
        <w:t xml:space="preserve"> Multi-factor temperature and osmotic screening arrays; PAST software package v4.03 for descriptive alpha/beta diversity indexing; custom R script engines mapping overlapping stress markers via Venn diagrams.</w:t>
      </w:r>
    </w:p>
    <w:p w14:paraId="0A3BF1E8" w14:textId="77777777" w:rsidR="007E78AE" w:rsidRPr="007E78AE" w:rsidRDefault="007E78AE" w:rsidP="007E78AE">
      <w:pPr>
        <w:numPr>
          <w:ilvl w:val="0"/>
          <w:numId w:val="3"/>
        </w:numPr>
      </w:pPr>
      <w:r w:rsidRPr="007E78AE">
        <w:rPr>
          <w:b/>
          <w:bCs/>
        </w:rPr>
        <w:t>Database(s):</w:t>
      </w:r>
      <w:r w:rsidRPr="007E78AE">
        <w:t xml:space="preserve"> Matrix spreadsheets recording qualitative isolate growth scores across discrete physical gradients.</w:t>
      </w:r>
    </w:p>
    <w:p w14:paraId="38BC0DE6" w14:textId="474DAFC2" w:rsidR="007E78AE" w:rsidRPr="007E78AE" w:rsidRDefault="007E78AE" w:rsidP="007E78AE">
      <w:pPr>
        <w:numPr>
          <w:ilvl w:val="0"/>
          <w:numId w:val="3"/>
        </w:numPr>
      </w:pPr>
      <w:r w:rsidRPr="007E78AE">
        <w:rPr>
          <w:b/>
          <w:bCs/>
        </w:rPr>
        <w:t>Normalization:</w:t>
      </w:r>
      <w:r w:rsidRPr="007E78AE">
        <w:t xml:space="preserve"> Binary and tier-scaled scoring matrices separating optimum growth (++++) from reduced growth (+++), minimal growth (+), or zero growth (-) thresholds.</w:t>
      </w:r>
    </w:p>
    <w:p w14:paraId="216E085F" w14:textId="77777777" w:rsidR="007E78AE" w:rsidRPr="007E78AE" w:rsidRDefault="007E78AE" w:rsidP="007E78AE">
      <w:pPr>
        <w:numPr>
          <w:ilvl w:val="0"/>
          <w:numId w:val="3"/>
        </w:numPr>
      </w:pPr>
      <w:r w:rsidRPr="007E78AE">
        <w:rPr>
          <w:b/>
          <w:bCs/>
        </w:rPr>
        <w:t>Goal of the analysis:</w:t>
      </w:r>
      <w:r w:rsidRPr="007E78AE">
        <w:t xml:space="preserve"> Isolate true heat-tolerant wheat seed endophytic bacteria (WSEB) lines, monitoring population survivability shifts under thermal, salt, pH, and drought stressors.</w:t>
      </w:r>
    </w:p>
    <w:p w14:paraId="1543F9DC" w14:textId="77777777" w:rsidR="007E78AE" w:rsidRPr="007E78AE" w:rsidRDefault="007E78AE" w:rsidP="007E78AE">
      <w:pPr>
        <w:numPr>
          <w:ilvl w:val="0"/>
          <w:numId w:val="3"/>
        </w:numPr>
      </w:pPr>
      <w:r w:rsidRPr="007E78AE">
        <w:rPr>
          <w:b/>
          <w:bCs/>
        </w:rPr>
        <w:t>Key metrics or statistical approaches:</w:t>
      </w:r>
      <w:r w:rsidRPr="007E78AE">
        <w:t xml:space="preserve"> Temperature gradient testing (ranging from 30°C up to 55°C). Establishes that while absolute baseline bacterial loads are highest in the heat-susceptible variety GW322, the heat-tolerant cultivars (HD3298 and HD3271) </w:t>
      </w:r>
      <w:proofErr w:type="spellStart"/>
      <w:r w:rsidRPr="007E78AE">
        <w:t>harbor</w:t>
      </w:r>
      <w:proofErr w:type="spellEnd"/>
      <w:r w:rsidRPr="007E78AE">
        <w:t xml:space="preserve"> significantly higher fractions of extreme thermotolerant endophytes capable of thriving at 55°C.</w:t>
      </w:r>
    </w:p>
    <w:p w14:paraId="6BD51C20" w14:textId="77777777" w:rsidR="007E78AE" w:rsidRPr="007E78AE" w:rsidRDefault="007E78AE" w:rsidP="007E78AE">
      <w:pPr>
        <w:rPr>
          <w:b/>
          <w:bCs/>
        </w:rPr>
      </w:pPr>
      <w:r w:rsidRPr="007E78AE">
        <w:rPr>
          <w:b/>
          <w:bCs/>
        </w:rPr>
        <w:t>Plant Growth-Promoting (PGP) &amp; Biocontrol Curation</w:t>
      </w:r>
    </w:p>
    <w:p w14:paraId="69A4E219" w14:textId="77777777" w:rsidR="007E78AE" w:rsidRPr="007E78AE" w:rsidRDefault="007E78AE" w:rsidP="007E78AE">
      <w:pPr>
        <w:numPr>
          <w:ilvl w:val="0"/>
          <w:numId w:val="4"/>
        </w:numPr>
      </w:pPr>
      <w:r w:rsidRPr="007E78AE">
        <w:rPr>
          <w:b/>
          <w:bCs/>
        </w:rPr>
        <w:t>Tool(s):</w:t>
      </w:r>
      <w:r w:rsidRPr="007E78AE">
        <w:t xml:space="preserve"> </w:t>
      </w:r>
      <w:proofErr w:type="spellStart"/>
      <w:r w:rsidRPr="007E78AE">
        <w:t>Bonitur</w:t>
      </w:r>
      <w:proofErr w:type="spellEnd"/>
      <w:r w:rsidRPr="007E78AE">
        <w:t xml:space="preserve"> scale ranking models integrating multiple quantitative biochemistries; gas chromatography setups with flame ionization detection (FID) tracking acetylene reduction assay (ARA) kinetics for nitrogen fixation; Salkowski colorimetric spectrophotometry.</w:t>
      </w:r>
    </w:p>
    <w:p w14:paraId="7582B744" w14:textId="77777777" w:rsidR="007E78AE" w:rsidRPr="007E78AE" w:rsidRDefault="007E78AE" w:rsidP="007E78AE">
      <w:pPr>
        <w:numPr>
          <w:ilvl w:val="0"/>
          <w:numId w:val="4"/>
        </w:numPr>
      </w:pPr>
      <w:r w:rsidRPr="007E78AE">
        <w:rPr>
          <w:b/>
          <w:bCs/>
        </w:rPr>
        <w:t>Database(s):</w:t>
      </w:r>
      <w:r w:rsidRPr="007E78AE">
        <w:t xml:space="preserve"> Specialized PGP property tracking </w:t>
      </w:r>
      <w:proofErr w:type="spellStart"/>
      <w:r w:rsidRPr="007E78AE">
        <w:t>catalogs</w:t>
      </w:r>
      <w:proofErr w:type="spellEnd"/>
      <w:r w:rsidRPr="007E78AE">
        <w:t>; GenBank 16S rRNA gene reference sequences to identify potential strains.</w:t>
      </w:r>
    </w:p>
    <w:p w14:paraId="32BD91E8" w14:textId="3A73FF38" w:rsidR="007E78AE" w:rsidRPr="007E78AE" w:rsidRDefault="007E78AE" w:rsidP="007E78AE">
      <w:pPr>
        <w:numPr>
          <w:ilvl w:val="0"/>
          <w:numId w:val="4"/>
        </w:numPr>
      </w:pPr>
      <w:r w:rsidRPr="007E78AE">
        <w:rPr>
          <w:b/>
          <w:bCs/>
        </w:rPr>
        <w:t>Normalization:</w:t>
      </w:r>
      <w:r w:rsidRPr="007E78AE">
        <w:t xml:space="preserve"> Nutrient mobilization metrics calibrated to parts per million (ppm) standards; siderophore yields converted into percentage siderophore units (</w:t>
      </w:r>
      <w:proofErr w:type="spellStart"/>
      <w:r w:rsidRPr="007E78AE">
        <w:t>psu</w:t>
      </w:r>
      <w:proofErr w:type="spellEnd"/>
      <w:r w:rsidRPr="007E78AE">
        <w:t>).</w:t>
      </w:r>
    </w:p>
    <w:p w14:paraId="2D9341D5" w14:textId="77777777" w:rsidR="007E78AE" w:rsidRPr="007E78AE" w:rsidRDefault="007E78AE" w:rsidP="007E78AE">
      <w:pPr>
        <w:numPr>
          <w:ilvl w:val="0"/>
          <w:numId w:val="4"/>
        </w:numPr>
      </w:pPr>
      <w:r w:rsidRPr="007E78AE">
        <w:rPr>
          <w:b/>
          <w:bCs/>
        </w:rPr>
        <w:t>Goal of the analysis:</w:t>
      </w:r>
      <w:r w:rsidRPr="007E78AE">
        <w:t xml:space="preserve"> Screen for endophytes that facilitate bio-fertilization, synthesize growth hormones, or act as biocontrol agents against fungal crop pathobionts (</w:t>
      </w:r>
      <w:r w:rsidRPr="007E78AE">
        <w:rPr>
          <w:i/>
          <w:iCs/>
        </w:rPr>
        <w:t>Fusarium</w:t>
      </w:r>
      <w:r w:rsidRPr="007E78AE">
        <w:t xml:space="preserve">, </w:t>
      </w:r>
      <w:proofErr w:type="spellStart"/>
      <w:r w:rsidRPr="007E78AE">
        <w:rPr>
          <w:i/>
          <w:iCs/>
        </w:rPr>
        <w:t>Bipolaris</w:t>
      </w:r>
      <w:proofErr w:type="spellEnd"/>
      <w:r w:rsidRPr="007E78AE">
        <w:t xml:space="preserve">, </w:t>
      </w:r>
      <w:r w:rsidRPr="007E78AE">
        <w:rPr>
          <w:i/>
          <w:iCs/>
        </w:rPr>
        <w:t>Puccinia</w:t>
      </w:r>
      <w:r w:rsidRPr="007E78AE">
        <w:t xml:space="preserve">, </w:t>
      </w:r>
      <w:proofErr w:type="spellStart"/>
      <w:r w:rsidRPr="007E78AE">
        <w:rPr>
          <w:i/>
          <w:iCs/>
        </w:rPr>
        <w:t>Tilletia</w:t>
      </w:r>
      <w:proofErr w:type="spellEnd"/>
      <w:r w:rsidRPr="007E78AE">
        <w:t>).</w:t>
      </w:r>
    </w:p>
    <w:p w14:paraId="055145F9" w14:textId="24B9ED37" w:rsidR="007E78AE" w:rsidRPr="007E78AE" w:rsidRDefault="007E78AE" w:rsidP="007E78AE">
      <w:pPr>
        <w:numPr>
          <w:ilvl w:val="0"/>
          <w:numId w:val="4"/>
        </w:numPr>
      </w:pPr>
      <w:r w:rsidRPr="007E78AE">
        <w:rPr>
          <w:b/>
          <w:bCs/>
        </w:rPr>
        <w:t>Key metrics or statistical approaches:</w:t>
      </w:r>
      <w:r w:rsidRPr="007E78AE">
        <w:t xml:space="preserve"> Quantitative monitoring of indole-3-acetic acid (IAA) and gibberellic acid (GA</w:t>
      </w:r>
      <w:r w:rsidRPr="007E78AE">
        <w:rPr>
          <w:vertAlign w:val="subscript"/>
        </w:rPr>
        <w:t>3</w:t>
      </w:r>
      <w:r w:rsidRPr="007E78AE">
        <w:t>) synthesis; scoring inorganic phosphorus, potassium, and zinc solubilization indices; and tracking 1-aminocyclopropane-1-carboxylate (ACC) deaminase activity to lower plant stress ethylene levels.</w:t>
      </w:r>
    </w:p>
    <w:p w14:paraId="19F620C6" w14:textId="7E876D3A" w:rsidR="007E78AE" w:rsidRPr="007E78AE" w:rsidRDefault="007E78AE" w:rsidP="007E78AE">
      <w:pPr>
        <w:rPr>
          <w:b/>
          <w:bCs/>
        </w:rPr>
      </w:pPr>
      <w:r w:rsidRPr="007E78AE">
        <w:rPr>
          <w:b/>
          <w:bCs/>
        </w:rPr>
        <w:t>Community</w:t>
      </w:r>
      <w:r>
        <w:rPr>
          <w:b/>
          <w:bCs/>
        </w:rPr>
        <w:t xml:space="preserve"> </w:t>
      </w:r>
      <w:r w:rsidRPr="007E78AE">
        <w:rPr>
          <w:b/>
          <w:bCs/>
        </w:rPr>
        <w:t xml:space="preserve">Forming </w:t>
      </w:r>
      <w:proofErr w:type="spellStart"/>
      <w:r w:rsidRPr="007E78AE">
        <w:rPr>
          <w:b/>
          <w:bCs/>
        </w:rPr>
        <w:t>SynCom</w:t>
      </w:r>
      <w:proofErr w:type="spellEnd"/>
      <w:r w:rsidRPr="007E78AE">
        <w:rPr>
          <w:b/>
          <w:bCs/>
        </w:rPr>
        <w:t xml:space="preserve"> Design &amp; Microcosm Validation</w:t>
      </w:r>
    </w:p>
    <w:p w14:paraId="12541211" w14:textId="5103917D" w:rsidR="007E78AE" w:rsidRPr="007E78AE" w:rsidRDefault="007E78AE" w:rsidP="007E78AE">
      <w:pPr>
        <w:numPr>
          <w:ilvl w:val="0"/>
          <w:numId w:val="5"/>
        </w:numPr>
      </w:pPr>
      <w:r w:rsidRPr="007E78AE">
        <w:rPr>
          <w:b/>
          <w:bCs/>
        </w:rPr>
        <w:t>Tool(s):</w:t>
      </w:r>
      <w:r w:rsidRPr="007E78AE">
        <w:t xml:space="preserve"> Cross-streaking plate methods evaluating mutual compatibility; JMP software (v17.0) hierarchical clustering plotting constellation trees based on carbohydrate catabolic diversity; bright</w:t>
      </w:r>
      <w:r>
        <w:t xml:space="preserve"> </w:t>
      </w:r>
      <w:r w:rsidRPr="007E78AE">
        <w:t>field microscopy for tissue colonization analysis; glasshouse completely randomized designs (CRD).</w:t>
      </w:r>
    </w:p>
    <w:p w14:paraId="3E45CA40" w14:textId="77777777" w:rsidR="007E78AE" w:rsidRPr="007E78AE" w:rsidRDefault="007E78AE" w:rsidP="007E78AE">
      <w:pPr>
        <w:numPr>
          <w:ilvl w:val="0"/>
          <w:numId w:val="5"/>
        </w:numPr>
      </w:pPr>
      <w:r w:rsidRPr="007E78AE">
        <w:rPr>
          <w:b/>
          <w:bCs/>
        </w:rPr>
        <w:t>Database(s):</w:t>
      </w:r>
      <w:r w:rsidRPr="007E78AE">
        <w:t xml:space="preserve"> Integrated carbon-utilization datasets; agronomic plant biometric spreadsheets tracking germination percentages, chlorophyll contents, and total shoot/root dry biomass.</w:t>
      </w:r>
    </w:p>
    <w:p w14:paraId="166CDC4F" w14:textId="171758D0" w:rsidR="007E78AE" w:rsidRPr="007E78AE" w:rsidRDefault="007E78AE" w:rsidP="007E78AE">
      <w:pPr>
        <w:numPr>
          <w:ilvl w:val="0"/>
          <w:numId w:val="5"/>
        </w:numPr>
      </w:pPr>
      <w:r w:rsidRPr="007E78AE">
        <w:rPr>
          <w:b/>
          <w:bCs/>
        </w:rPr>
        <w:t>Normalization:</w:t>
      </w:r>
      <w:r w:rsidRPr="007E78AE">
        <w:t xml:space="preserve"> Multi-isolate combinations balanced to fixed cellular concentrations (1</w:t>
      </w:r>
      <w:r>
        <w:t>*</w:t>
      </w:r>
      <w:r w:rsidRPr="007E78AE">
        <w:t xml:space="preserve"> 10</w:t>
      </w:r>
      <w:r w:rsidRPr="007E78AE">
        <w:rPr>
          <w:vertAlign w:val="superscript"/>
        </w:rPr>
        <w:t>8</w:t>
      </w:r>
      <w:r w:rsidRPr="007E78AE">
        <w:t xml:space="preserve"> cells mL</w:t>
      </w:r>
      <w:r w:rsidRPr="007E78AE">
        <w:rPr>
          <w:vertAlign w:val="superscript"/>
        </w:rPr>
        <w:t>-1</w:t>
      </w:r>
      <w:r w:rsidRPr="007E78AE">
        <w:t>); crop biometric means separated via Duncan’s multiple range tests (p=0.05).</w:t>
      </w:r>
    </w:p>
    <w:p w14:paraId="694C7B1E" w14:textId="086F3C1C" w:rsidR="007E78AE" w:rsidRPr="007E78AE" w:rsidRDefault="007E78AE" w:rsidP="007E78AE">
      <w:pPr>
        <w:numPr>
          <w:ilvl w:val="0"/>
          <w:numId w:val="5"/>
        </w:numPr>
      </w:pPr>
      <w:r w:rsidRPr="007E78AE">
        <w:rPr>
          <w:b/>
          <w:bCs/>
        </w:rPr>
        <w:lastRenderedPageBreak/>
        <w:t>Goal of the analysis:</w:t>
      </w:r>
      <w:r w:rsidRPr="007E78AE">
        <w:t xml:space="preserve"> Construct and test synthetic bacterial communities (</w:t>
      </w:r>
      <w:proofErr w:type="spellStart"/>
      <w:r w:rsidRPr="007E78AE">
        <w:t>SynComs</w:t>
      </w:r>
      <w:proofErr w:type="spellEnd"/>
      <w:r w:rsidRPr="007E78AE">
        <w:t>), specifically contrasting pure plant growth</w:t>
      </w:r>
      <w:r>
        <w:t xml:space="preserve"> </w:t>
      </w:r>
      <w:r w:rsidRPr="007E78AE">
        <w:t xml:space="preserve">promoting traits (SM1) against pure community-forming traits (SM2) and combined multifunctional assemblies (SM3) to maximize </w:t>
      </w:r>
      <w:proofErr w:type="spellStart"/>
      <w:r w:rsidRPr="007E78AE">
        <w:t>rhizospheric</w:t>
      </w:r>
      <w:proofErr w:type="spellEnd"/>
      <w:r w:rsidRPr="007E78AE">
        <w:t xml:space="preserve"> and endospheric tissue colonization.</w:t>
      </w:r>
    </w:p>
    <w:p w14:paraId="361C257C" w14:textId="0241EDDC" w:rsidR="007E78AE" w:rsidRPr="007E78AE" w:rsidRDefault="007E78AE" w:rsidP="007E78AE">
      <w:pPr>
        <w:numPr>
          <w:ilvl w:val="0"/>
          <w:numId w:val="5"/>
        </w:numPr>
      </w:pPr>
      <w:r w:rsidRPr="007E78AE">
        <w:rPr>
          <w:b/>
          <w:bCs/>
        </w:rPr>
        <w:t>Key metrics or statistical approaches:</w:t>
      </w:r>
      <w:r w:rsidRPr="007E78AE">
        <w:t xml:space="preserve"> Microcosm testing demonstrates that integrating community</w:t>
      </w:r>
      <w:r>
        <w:t xml:space="preserve"> </w:t>
      </w:r>
      <w:r w:rsidRPr="007E78AE">
        <w:t>forming traits (biofilm formation and EPS production) significantly enhances colonization efficiency, showing large aggregations inside root cells. This functional cooperation results in a highly significant plant growth response under a 50% reduced fertilizer regimen, yielding substantial improvements in germination percentage, chlorophyll retention, and total plant biomass compared to uninoculated control lines.</w:t>
      </w:r>
    </w:p>
    <w:p w14:paraId="22323178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07A8"/>
    <w:multiLevelType w:val="multilevel"/>
    <w:tmpl w:val="B4B2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62398"/>
    <w:multiLevelType w:val="multilevel"/>
    <w:tmpl w:val="8A08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568ED"/>
    <w:multiLevelType w:val="multilevel"/>
    <w:tmpl w:val="20A0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208F0"/>
    <w:multiLevelType w:val="multilevel"/>
    <w:tmpl w:val="3C1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F4C03"/>
    <w:multiLevelType w:val="multilevel"/>
    <w:tmpl w:val="96AA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879333">
    <w:abstractNumId w:val="4"/>
  </w:num>
  <w:num w:numId="2" w16cid:durableId="675231657">
    <w:abstractNumId w:val="2"/>
  </w:num>
  <w:num w:numId="3" w16cid:durableId="274751204">
    <w:abstractNumId w:val="0"/>
  </w:num>
  <w:num w:numId="4" w16cid:durableId="1222132982">
    <w:abstractNumId w:val="1"/>
  </w:num>
  <w:num w:numId="5" w16cid:durableId="2018998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8AE"/>
    <w:rsid w:val="000C3267"/>
    <w:rsid w:val="00227B78"/>
    <w:rsid w:val="007A7287"/>
    <w:rsid w:val="007E78AE"/>
    <w:rsid w:val="00850FB5"/>
    <w:rsid w:val="00B5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7D3A5"/>
  <w15:chartTrackingRefBased/>
  <w15:docId w15:val="{C6D87E0F-ECF3-4BAA-A8F0-EA04006C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8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8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doi.org/10.3389/fpls.2024.1332745" TargetMode="External"/><Relationship Id="rId5" Type="http://schemas.openxmlformats.org/officeDocument/2006/relationships/hyperlink" Target="https://www.google.com/search?q=https://doi.org/10.3389/fpis.2023.11018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1012</Words>
  <Characters>5773</Characters>
  <Application>Microsoft Office Word</Application>
  <DocSecurity>0</DocSecurity>
  <Lines>48</Lines>
  <Paragraphs>13</Paragraphs>
  <ScaleCrop>false</ScaleCrop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2026-06-25T05:13:00Z</dcterms:created>
  <dcterms:modified xsi:type="dcterms:W3CDTF">2026-06-25T05:18:00Z</dcterms:modified>
</cp:coreProperties>
</file>