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09DC4" w14:textId="77777777" w:rsidR="00BA0762" w:rsidRPr="00BA0762" w:rsidRDefault="00BA0762" w:rsidP="00BA0762">
      <w:pPr>
        <w:rPr>
          <w:b/>
          <w:bCs/>
          <w:sz w:val="36"/>
          <w:szCs w:val="36"/>
        </w:rPr>
      </w:pPr>
      <w:r w:rsidRPr="00BA0762">
        <w:rPr>
          <w:b/>
          <w:bCs/>
          <w:sz w:val="36"/>
          <w:szCs w:val="36"/>
        </w:rPr>
        <w:t>Analysis Plan - SRP470676</w:t>
      </w:r>
    </w:p>
    <w:p w14:paraId="080133A9" w14:textId="77777777" w:rsidR="00BA0762" w:rsidRPr="00BA0762" w:rsidRDefault="00BA0762" w:rsidP="00BA0762">
      <w:r w:rsidRPr="00BA0762">
        <w:rPr>
          <w:b/>
          <w:bCs/>
        </w:rPr>
        <w:t>Study Accession:</w:t>
      </w:r>
      <w:r w:rsidRPr="00BA0762">
        <w:t xml:space="preserve"> SRP470676 (SRA </w:t>
      </w:r>
      <w:proofErr w:type="spellStart"/>
      <w:r w:rsidRPr="00BA0762">
        <w:t>BioProject</w:t>
      </w:r>
      <w:proofErr w:type="spellEnd"/>
      <w:r w:rsidRPr="00BA0762">
        <w:t xml:space="preserve"> PRJNA1028711 / Indian Smokeless Tobacco Metagenome Curation)</w:t>
      </w:r>
    </w:p>
    <w:p w14:paraId="31278A80" w14:textId="77777777" w:rsidR="00BA0762" w:rsidRPr="00BA0762" w:rsidRDefault="00BA0762" w:rsidP="00BA0762">
      <w:r w:rsidRPr="00BA0762">
        <w:rPr>
          <w:b/>
          <w:bCs/>
        </w:rPr>
        <w:t>Study Type:</w:t>
      </w:r>
      <w:r w:rsidRPr="00BA0762">
        <w:t xml:space="preserve"> Product microbiomics, xenobiotic carcinogen monitoring, and shotgun metagenomics</w:t>
      </w:r>
    </w:p>
    <w:p w14:paraId="54F91B81" w14:textId="77777777" w:rsidR="00BA0762" w:rsidRPr="00BA0762" w:rsidRDefault="00BA0762" w:rsidP="00BA0762">
      <w:r w:rsidRPr="00BA0762">
        <w:rPr>
          <w:b/>
          <w:bCs/>
        </w:rPr>
        <w:t>Sample Type:</w:t>
      </w:r>
      <w:r w:rsidRPr="00BA0762">
        <w:t xml:space="preserve"> Commercial packaged and loose Smokeless Tobacco Products (STPs) consumed in India</w:t>
      </w:r>
    </w:p>
    <w:p w14:paraId="73A0F6E2" w14:textId="77777777" w:rsidR="00BA0762" w:rsidRPr="00BA0762" w:rsidRDefault="00BA0762" w:rsidP="00BA0762">
      <w:r w:rsidRPr="00BA0762">
        <w:rPr>
          <w:b/>
          <w:bCs/>
        </w:rPr>
        <w:t>Associated Publications / DOIs:</w:t>
      </w:r>
    </w:p>
    <w:p w14:paraId="012C1FD6" w14:textId="77777777" w:rsidR="00BA0762" w:rsidRPr="00BA0762" w:rsidRDefault="00BA0762" w:rsidP="00BA0762">
      <w:pPr>
        <w:numPr>
          <w:ilvl w:val="0"/>
          <w:numId w:val="1"/>
        </w:numPr>
      </w:pPr>
      <w:r w:rsidRPr="00BA0762">
        <w:t>Sajid et al., 2024 (</w:t>
      </w:r>
      <w:r w:rsidRPr="00BA0762">
        <w:rPr>
          <w:i/>
          <w:iCs/>
        </w:rPr>
        <w:t xml:space="preserve">Appl </w:t>
      </w:r>
      <w:proofErr w:type="spellStart"/>
      <w:r w:rsidRPr="00BA0762">
        <w:rPr>
          <w:i/>
          <w:iCs/>
        </w:rPr>
        <w:t>Microbiol</w:t>
      </w:r>
      <w:proofErr w:type="spellEnd"/>
      <w:r w:rsidRPr="00BA0762">
        <w:rPr>
          <w:i/>
          <w:iCs/>
        </w:rPr>
        <w:t xml:space="preserve"> </w:t>
      </w:r>
      <w:proofErr w:type="spellStart"/>
      <w:r w:rsidRPr="00BA0762">
        <w:rPr>
          <w:i/>
          <w:iCs/>
        </w:rPr>
        <w:t>Biotechnol</w:t>
      </w:r>
      <w:proofErr w:type="spellEnd"/>
      <w:r w:rsidRPr="00BA0762">
        <w:t xml:space="preserve">): </w:t>
      </w:r>
      <w:hyperlink r:id="rId5" w:tgtFrame="_blank" w:history="1">
        <w:r w:rsidRPr="00BA0762">
          <w:rPr>
            <w:rStyle w:val="Hyperlink"/>
          </w:rPr>
          <w:t>https://doi.org/10.1007/s00253-024-13156-9</w:t>
        </w:r>
      </w:hyperlink>
    </w:p>
    <w:p w14:paraId="14CDFF3B" w14:textId="3F413477" w:rsidR="00BA0762" w:rsidRPr="00BA0762" w:rsidRDefault="00BA0762" w:rsidP="00BA0762">
      <w:r w:rsidRPr="00BA0762">
        <w:rPr>
          <w:b/>
          <w:bCs/>
        </w:rPr>
        <w:t>Study Design:</w:t>
      </w:r>
      <w:r w:rsidRPr="00BA0762">
        <w:t xml:space="preserve"> Comprehensive shotgun metagenomic screening and biochemical profiling of Indian smokeless tobacco products to determine the microbial communities and metabolic functions linked to carcinogen synthesis. The experimental layout investigates five distinct types of STPs popular across India, explicitly evaluating two commercial packaged varieties (Moist</w:t>
      </w:r>
      <w:r>
        <w:t xml:space="preserve"> </w:t>
      </w:r>
      <w:r w:rsidRPr="00BA0762">
        <w:t xml:space="preserve">snuff and </w:t>
      </w:r>
      <w:proofErr w:type="spellStart"/>
      <w:r w:rsidRPr="00BA0762">
        <w:t>Qiwam</w:t>
      </w:r>
      <w:proofErr w:type="spellEnd"/>
      <w:r w:rsidRPr="00BA0762">
        <w:t xml:space="preserve">) and three loose varieties (Mainpuri </w:t>
      </w:r>
      <w:proofErr w:type="spellStart"/>
      <w:r w:rsidRPr="00BA0762">
        <w:t>Kapoori</w:t>
      </w:r>
      <w:proofErr w:type="spellEnd"/>
      <w:r w:rsidRPr="00BA0762">
        <w:t xml:space="preserve">, </w:t>
      </w:r>
      <w:proofErr w:type="spellStart"/>
      <w:r w:rsidRPr="00BA0762">
        <w:t>Dohra</w:t>
      </w:r>
      <w:proofErr w:type="spellEnd"/>
      <w:r w:rsidRPr="00BA0762">
        <w:t>, and Gudakhu). Total community genomic DNA extracted from high</w:t>
      </w:r>
      <w:r>
        <w:t xml:space="preserve"> </w:t>
      </w:r>
      <w:r w:rsidRPr="00BA0762">
        <w:t>chemical</w:t>
      </w:r>
      <w:r>
        <w:t xml:space="preserve"> </w:t>
      </w:r>
      <w:r w:rsidRPr="00BA0762">
        <w:t>matrix tobacco substrates was subjected to deep shotgun metagenomic sequencing on Illumina platforms to profile bacterial diversity, map nitrate/nitrite metabolic pathways, and correlate microbial counts with absolute concentrations of nicotine, tobacco</w:t>
      </w:r>
      <w:r>
        <w:t xml:space="preserve"> </w:t>
      </w:r>
      <w:r w:rsidRPr="00BA0762">
        <w:t>specific nitrosamines (TSNAs), mycotoxins, and heavy metals.</w:t>
      </w:r>
    </w:p>
    <w:p w14:paraId="3DC52D89" w14:textId="77777777" w:rsidR="00BA0762" w:rsidRPr="00BA0762" w:rsidRDefault="00BA0762" w:rsidP="00BA0762">
      <w:pPr>
        <w:rPr>
          <w:b/>
          <w:bCs/>
        </w:rPr>
      </w:pPr>
      <w:r w:rsidRPr="00BA0762">
        <w:rPr>
          <w:b/>
          <w:bCs/>
        </w:rPr>
        <w:t>Sequence Preprocessing &amp; Quality Filtering</w:t>
      </w:r>
    </w:p>
    <w:p w14:paraId="5070C177" w14:textId="77777777" w:rsidR="00BA0762" w:rsidRPr="00BA0762" w:rsidRDefault="00BA0762" w:rsidP="00BA0762">
      <w:pPr>
        <w:numPr>
          <w:ilvl w:val="0"/>
          <w:numId w:val="2"/>
        </w:numPr>
      </w:pPr>
      <w:r w:rsidRPr="00BA0762">
        <w:rPr>
          <w:b/>
          <w:bCs/>
        </w:rPr>
        <w:t>Tool(s):</w:t>
      </w:r>
      <w:r w:rsidRPr="00BA0762">
        <w:t xml:space="preserve"> </w:t>
      </w:r>
      <w:proofErr w:type="spellStart"/>
      <w:r w:rsidRPr="00BA0762">
        <w:t>Trimmomatic</w:t>
      </w:r>
      <w:proofErr w:type="spellEnd"/>
      <w:r w:rsidRPr="00BA0762">
        <w:t xml:space="preserve"> or </w:t>
      </w:r>
      <w:proofErr w:type="spellStart"/>
      <w:r w:rsidRPr="00BA0762">
        <w:t>fastp</w:t>
      </w:r>
      <w:proofErr w:type="spellEnd"/>
      <w:r w:rsidRPr="00BA0762">
        <w:t xml:space="preserve"> for high-accuracy adapter excision and low-quality read trimming; Bowtie2 for screening and subtracting plant host (</w:t>
      </w:r>
      <w:r w:rsidRPr="00BA0762">
        <w:rPr>
          <w:i/>
          <w:iCs/>
        </w:rPr>
        <w:t>Nicotiana tabacum</w:t>
      </w:r>
      <w:r w:rsidRPr="00BA0762">
        <w:t>) genetic backgrounds; FastQC for pre- and post-processing quality control validation.</w:t>
      </w:r>
    </w:p>
    <w:p w14:paraId="10BAC88D" w14:textId="77777777" w:rsidR="00BA0762" w:rsidRPr="00BA0762" w:rsidRDefault="00BA0762" w:rsidP="00BA0762">
      <w:pPr>
        <w:numPr>
          <w:ilvl w:val="0"/>
          <w:numId w:val="2"/>
        </w:numPr>
      </w:pPr>
      <w:r w:rsidRPr="00BA0762">
        <w:rPr>
          <w:b/>
          <w:bCs/>
        </w:rPr>
        <w:t>Database(s):</w:t>
      </w:r>
      <w:r w:rsidRPr="00BA0762">
        <w:t xml:space="preserve"> </w:t>
      </w:r>
      <w:r w:rsidRPr="00BA0762">
        <w:rPr>
          <w:i/>
          <w:iCs/>
        </w:rPr>
        <w:t>Nicotiana tabacum</w:t>
      </w:r>
      <w:r w:rsidRPr="00BA0762">
        <w:t xml:space="preserve"> reference genome database (to eliminate background host tobacco plant DNA).</w:t>
      </w:r>
    </w:p>
    <w:p w14:paraId="68AC8649" w14:textId="1ED5D36B" w:rsidR="00BA0762" w:rsidRPr="00BA0762" w:rsidRDefault="00BA0762" w:rsidP="00BA0762">
      <w:pPr>
        <w:numPr>
          <w:ilvl w:val="0"/>
          <w:numId w:val="2"/>
        </w:numPr>
      </w:pPr>
      <w:r w:rsidRPr="00BA0762">
        <w:rPr>
          <w:b/>
          <w:bCs/>
        </w:rPr>
        <w:t>Normalization:</w:t>
      </w:r>
      <w:r w:rsidRPr="00BA0762">
        <w:t xml:space="preserve"> Read count filtration rejecting sequence shards with an average Phred quality score below Q20/Q30; uniform read</w:t>
      </w:r>
      <w:r>
        <w:t xml:space="preserve"> </w:t>
      </w:r>
      <w:r w:rsidRPr="00BA0762">
        <w:t>depth scaling to handle sequencing variations across complex chemical matrices.</w:t>
      </w:r>
    </w:p>
    <w:p w14:paraId="3DA8A025" w14:textId="77777777" w:rsidR="00BA0762" w:rsidRPr="00BA0762" w:rsidRDefault="00BA0762" w:rsidP="00BA0762">
      <w:pPr>
        <w:numPr>
          <w:ilvl w:val="0"/>
          <w:numId w:val="2"/>
        </w:numPr>
      </w:pPr>
      <w:r w:rsidRPr="00BA0762">
        <w:rPr>
          <w:b/>
          <w:bCs/>
        </w:rPr>
        <w:t>Goal of the analysis:</w:t>
      </w:r>
      <w:r w:rsidRPr="00BA0762">
        <w:t xml:space="preserve"> Clean complex product metagenomic short reads and completely strip host plant genomic DNA to secure highly specific bacterial and functional sequence sets.</w:t>
      </w:r>
    </w:p>
    <w:p w14:paraId="09148E6D" w14:textId="3963D043" w:rsidR="00BA0762" w:rsidRPr="00BA0762" w:rsidRDefault="00BA0762" w:rsidP="00BA0762">
      <w:pPr>
        <w:numPr>
          <w:ilvl w:val="0"/>
          <w:numId w:val="2"/>
        </w:numPr>
      </w:pPr>
      <w:r w:rsidRPr="00BA0762">
        <w:rPr>
          <w:b/>
          <w:bCs/>
        </w:rPr>
        <w:t>Key metrics or statistical approaches:</w:t>
      </w:r>
      <w:r w:rsidRPr="00BA0762">
        <w:t xml:space="preserve"> Tracking total raw read pairs, percentage of reads mapping to the tobacco host genome, clean post</w:t>
      </w:r>
      <w:r>
        <w:t xml:space="preserve"> </w:t>
      </w:r>
      <w:r w:rsidRPr="00BA0762">
        <w:t>filter read totals, and per-base sequence quality score trends.</w:t>
      </w:r>
    </w:p>
    <w:p w14:paraId="74A89D0C" w14:textId="77777777" w:rsidR="00BA0762" w:rsidRPr="00BA0762" w:rsidRDefault="00BA0762" w:rsidP="00BA0762">
      <w:pPr>
        <w:rPr>
          <w:b/>
          <w:bCs/>
        </w:rPr>
      </w:pPr>
      <w:r w:rsidRPr="00BA0762">
        <w:rPr>
          <w:b/>
          <w:bCs/>
        </w:rPr>
        <w:t>Taxonomic Profiling &amp; Diversity Analytics</w:t>
      </w:r>
    </w:p>
    <w:p w14:paraId="039DD112" w14:textId="46AF6B74" w:rsidR="00BA0762" w:rsidRPr="00BA0762" w:rsidRDefault="00BA0762" w:rsidP="00BA0762">
      <w:pPr>
        <w:numPr>
          <w:ilvl w:val="0"/>
          <w:numId w:val="3"/>
        </w:numPr>
      </w:pPr>
      <w:r w:rsidRPr="00BA0762">
        <w:rPr>
          <w:b/>
          <w:bCs/>
        </w:rPr>
        <w:t>Tool(s):</w:t>
      </w:r>
      <w:r w:rsidRPr="00BA0762">
        <w:t xml:space="preserve"> Kraken2 or </w:t>
      </w:r>
      <w:proofErr w:type="spellStart"/>
      <w:r w:rsidRPr="00BA0762">
        <w:t>MetaPhlAn</w:t>
      </w:r>
      <w:proofErr w:type="spellEnd"/>
      <w:r w:rsidRPr="00BA0762">
        <w:t xml:space="preserve"> pipelines for direct taxonomic read</w:t>
      </w:r>
      <w:r>
        <w:t xml:space="preserve"> </w:t>
      </w:r>
      <w:r w:rsidRPr="00BA0762">
        <w:t xml:space="preserve">fragment classification; Bracken for precise abundance re-estimation at the species level; </w:t>
      </w:r>
      <w:proofErr w:type="spellStart"/>
      <w:r w:rsidRPr="00BA0762">
        <w:t>phyloseq</w:t>
      </w:r>
      <w:proofErr w:type="spellEnd"/>
      <w:r w:rsidRPr="00BA0762">
        <w:t xml:space="preserve"> and Vegan R packages for diversity </w:t>
      </w:r>
      <w:proofErr w:type="spellStart"/>
      <w:r w:rsidRPr="00BA0762">
        <w:t>modeling</w:t>
      </w:r>
      <w:proofErr w:type="spellEnd"/>
      <w:r w:rsidRPr="00BA0762">
        <w:t xml:space="preserve"> and multivariate layouts.</w:t>
      </w:r>
    </w:p>
    <w:p w14:paraId="586A4ED1" w14:textId="77777777" w:rsidR="00BA0762" w:rsidRPr="00BA0762" w:rsidRDefault="00BA0762" w:rsidP="00BA0762">
      <w:pPr>
        <w:numPr>
          <w:ilvl w:val="0"/>
          <w:numId w:val="3"/>
        </w:numPr>
      </w:pPr>
      <w:r w:rsidRPr="00BA0762">
        <w:rPr>
          <w:b/>
          <w:bCs/>
        </w:rPr>
        <w:t>Database(s):</w:t>
      </w:r>
      <w:r w:rsidRPr="00BA0762">
        <w:t xml:space="preserve"> Standard NCBI </w:t>
      </w:r>
      <w:proofErr w:type="spellStart"/>
      <w:r w:rsidRPr="00BA0762">
        <w:t>RefSeq</w:t>
      </w:r>
      <w:proofErr w:type="spellEnd"/>
      <w:r w:rsidRPr="00BA0762">
        <w:t xml:space="preserve"> microbial genomics collection; GTDB taxonomy reference </w:t>
      </w:r>
      <w:proofErr w:type="spellStart"/>
      <w:r w:rsidRPr="00BA0762">
        <w:t>catalog</w:t>
      </w:r>
      <w:proofErr w:type="spellEnd"/>
      <w:r w:rsidRPr="00BA0762">
        <w:t>.</w:t>
      </w:r>
    </w:p>
    <w:p w14:paraId="015E995F" w14:textId="77777777" w:rsidR="00BA0762" w:rsidRPr="00BA0762" w:rsidRDefault="00BA0762" w:rsidP="00BA0762">
      <w:pPr>
        <w:numPr>
          <w:ilvl w:val="0"/>
          <w:numId w:val="3"/>
        </w:numPr>
      </w:pPr>
      <w:r w:rsidRPr="00BA0762">
        <w:rPr>
          <w:b/>
          <w:bCs/>
        </w:rPr>
        <w:lastRenderedPageBreak/>
        <w:t>Normalization:</w:t>
      </w:r>
      <w:r w:rsidRPr="00BA0762">
        <w:t xml:space="preserve"> Raw sequence count matrices normalized into relative abundance percentages; library depth adjustments via minimum sampling depth constraints to control for uneven sequencing depth.</w:t>
      </w:r>
    </w:p>
    <w:p w14:paraId="252E8524" w14:textId="77777777" w:rsidR="00BA0762" w:rsidRPr="00BA0762" w:rsidRDefault="00BA0762" w:rsidP="00BA0762">
      <w:pPr>
        <w:numPr>
          <w:ilvl w:val="0"/>
          <w:numId w:val="3"/>
        </w:numPr>
      </w:pPr>
      <w:r w:rsidRPr="00BA0762">
        <w:rPr>
          <w:b/>
          <w:bCs/>
        </w:rPr>
        <w:t>Goal of the analysis:</w:t>
      </w:r>
      <w:r w:rsidRPr="00BA0762">
        <w:t xml:space="preserve"> Profile the primary core bacteriome architecture across Indian STPs, calculating alpha/beta-diversity shifts to distinguish packaged vs. loose tobacco formulations.</w:t>
      </w:r>
    </w:p>
    <w:p w14:paraId="04B66F54" w14:textId="77777777" w:rsidR="00BA0762" w:rsidRPr="00BA0762" w:rsidRDefault="00BA0762" w:rsidP="00BA0762">
      <w:pPr>
        <w:numPr>
          <w:ilvl w:val="0"/>
          <w:numId w:val="3"/>
        </w:numPr>
      </w:pPr>
      <w:r w:rsidRPr="00BA0762">
        <w:rPr>
          <w:b/>
          <w:bCs/>
        </w:rPr>
        <w:t>Key metrics or statistical approaches:</w:t>
      </w:r>
      <w:r w:rsidRPr="00BA0762">
        <w:t xml:space="preserve"> Observed species richness and Shannon diversity indices; non-metric multidimensional scaling (NMDS) or Principal Coordinate Analysis (</w:t>
      </w:r>
      <w:proofErr w:type="spellStart"/>
      <w:r w:rsidRPr="00BA0762">
        <w:t>PCoA</w:t>
      </w:r>
      <w:proofErr w:type="spellEnd"/>
      <w:r w:rsidRPr="00BA0762">
        <w:t>) on Bray-</w:t>
      </w:r>
      <w:proofErr w:type="gramStart"/>
      <w:r w:rsidRPr="00BA0762">
        <w:t>Curtis</w:t>
      </w:r>
      <w:proofErr w:type="gramEnd"/>
      <w:r w:rsidRPr="00BA0762">
        <w:t xml:space="preserve"> dissimilarity matrices paired with PERMANOVA to statistically partition community variation relative to STP categories.</w:t>
      </w:r>
    </w:p>
    <w:p w14:paraId="65D99FCD" w14:textId="77777777" w:rsidR="00BA0762" w:rsidRPr="00BA0762" w:rsidRDefault="00BA0762" w:rsidP="00BA0762">
      <w:pPr>
        <w:rPr>
          <w:b/>
          <w:bCs/>
        </w:rPr>
      </w:pPr>
      <w:r w:rsidRPr="00BA0762">
        <w:rPr>
          <w:b/>
          <w:bCs/>
        </w:rPr>
        <w:t>Nitrate Metabolism &amp; TSNA Biosynthetic Mapping</w:t>
      </w:r>
    </w:p>
    <w:p w14:paraId="68D45918" w14:textId="77777777" w:rsidR="00BA0762" w:rsidRPr="00BA0762" w:rsidRDefault="00BA0762" w:rsidP="00BA0762">
      <w:pPr>
        <w:numPr>
          <w:ilvl w:val="0"/>
          <w:numId w:val="4"/>
        </w:numPr>
      </w:pPr>
      <w:r w:rsidRPr="00BA0762">
        <w:rPr>
          <w:b/>
          <w:bCs/>
        </w:rPr>
        <w:t>Tool(s):</w:t>
      </w:r>
      <w:r w:rsidRPr="00BA0762">
        <w:t xml:space="preserve"> </w:t>
      </w:r>
      <w:proofErr w:type="spellStart"/>
      <w:r w:rsidRPr="00BA0762">
        <w:t>HUMAnN</w:t>
      </w:r>
      <w:proofErr w:type="spellEnd"/>
      <w:r w:rsidRPr="00BA0762">
        <w:t xml:space="preserve"> or </w:t>
      </w:r>
      <w:proofErr w:type="spellStart"/>
      <w:r w:rsidRPr="00BA0762">
        <w:t>eggNOG</w:t>
      </w:r>
      <w:proofErr w:type="spellEnd"/>
      <w:r w:rsidRPr="00BA0762">
        <w:t>-mapper pipelines for functional gene prediction, annotation, and metabolic cassette reconstruction directly from shotgun reads; custom script frameworks for calculating enzyme family abundance indices.</w:t>
      </w:r>
    </w:p>
    <w:p w14:paraId="356AD92B" w14:textId="77777777" w:rsidR="00BA0762" w:rsidRPr="00BA0762" w:rsidRDefault="00BA0762" w:rsidP="00BA0762">
      <w:pPr>
        <w:numPr>
          <w:ilvl w:val="0"/>
          <w:numId w:val="4"/>
        </w:numPr>
      </w:pPr>
      <w:r w:rsidRPr="00BA0762">
        <w:rPr>
          <w:b/>
          <w:bCs/>
        </w:rPr>
        <w:t>Database(s):</w:t>
      </w:r>
      <w:r w:rsidRPr="00BA0762">
        <w:t xml:space="preserve"> KEGG (Kyoto </w:t>
      </w:r>
      <w:proofErr w:type="spellStart"/>
      <w:r w:rsidRPr="00BA0762">
        <w:t>Encyclopedia</w:t>
      </w:r>
      <w:proofErr w:type="spellEnd"/>
      <w:r w:rsidRPr="00BA0762">
        <w:t xml:space="preserve"> of Genes and Genomes); UniRef90 protein clusters; </w:t>
      </w:r>
      <w:proofErr w:type="spellStart"/>
      <w:r w:rsidRPr="00BA0762">
        <w:t>MetaCyc</w:t>
      </w:r>
      <w:proofErr w:type="spellEnd"/>
      <w:r w:rsidRPr="00BA0762">
        <w:t xml:space="preserve"> metabolic pathway database.</w:t>
      </w:r>
    </w:p>
    <w:p w14:paraId="5F1A0C3A" w14:textId="49A115BC" w:rsidR="00BA0762" w:rsidRPr="00BA0762" w:rsidRDefault="00BA0762" w:rsidP="00BA0762">
      <w:pPr>
        <w:numPr>
          <w:ilvl w:val="0"/>
          <w:numId w:val="4"/>
        </w:numPr>
      </w:pPr>
      <w:r w:rsidRPr="00BA0762">
        <w:rPr>
          <w:b/>
          <w:bCs/>
        </w:rPr>
        <w:t>Normalization:</w:t>
      </w:r>
      <w:r w:rsidRPr="00BA0762">
        <w:t xml:space="preserve"> Functional </w:t>
      </w:r>
      <w:proofErr w:type="spellStart"/>
      <w:r w:rsidRPr="00BA0762">
        <w:t>orthology</w:t>
      </w:r>
      <w:proofErr w:type="spellEnd"/>
      <w:r w:rsidRPr="00BA0762">
        <w:t xml:space="preserve"> gene counts length</w:t>
      </w:r>
      <w:r>
        <w:t xml:space="preserve"> </w:t>
      </w:r>
      <w:r w:rsidRPr="00BA0762">
        <w:t>normalized and expressed as RPKM or relative pathway coverage proportions.</w:t>
      </w:r>
    </w:p>
    <w:p w14:paraId="05540376" w14:textId="574E07E9" w:rsidR="00BA0762" w:rsidRPr="00BA0762" w:rsidRDefault="00BA0762" w:rsidP="00BA0762">
      <w:pPr>
        <w:numPr>
          <w:ilvl w:val="0"/>
          <w:numId w:val="4"/>
        </w:numPr>
      </w:pPr>
      <w:r w:rsidRPr="00BA0762">
        <w:rPr>
          <w:b/>
          <w:bCs/>
        </w:rPr>
        <w:t>Goal of the analysis:</w:t>
      </w:r>
      <w:r w:rsidRPr="00BA0762">
        <w:t xml:space="preserve"> Map out nitrogen and nitrate/nitrite reduction networks, isolating specific microbial enzyme groups that convert tobacco nitrates into nitrites, which directly drive the chemical synthesis of carcinogenic tobacco</w:t>
      </w:r>
      <w:r>
        <w:t xml:space="preserve"> </w:t>
      </w:r>
      <w:r w:rsidRPr="00BA0762">
        <w:t>specific nitrosamines (TSNAs).</w:t>
      </w:r>
    </w:p>
    <w:p w14:paraId="0315790C" w14:textId="77777777" w:rsidR="00BA0762" w:rsidRPr="00BA0762" w:rsidRDefault="00BA0762" w:rsidP="00BA0762">
      <w:pPr>
        <w:numPr>
          <w:ilvl w:val="0"/>
          <w:numId w:val="4"/>
        </w:numPr>
      </w:pPr>
      <w:r w:rsidRPr="00BA0762">
        <w:rPr>
          <w:b/>
          <w:bCs/>
        </w:rPr>
        <w:t>Key metrics or statistical approaches:</w:t>
      </w:r>
      <w:r w:rsidRPr="00BA0762">
        <w:t xml:space="preserve"> Quantifying the enrichment of nitrate reductase (EC 1.7.5.1 / EC 1.7.99.4) and nitrite reductase gene cassettes; tracking metabolic module completeness for dissimilatory nitrate reduction to ammonium (DNRA) across different product formats.</w:t>
      </w:r>
    </w:p>
    <w:p w14:paraId="69D17728" w14:textId="77777777" w:rsidR="00BA0762" w:rsidRPr="00BA0762" w:rsidRDefault="00BA0762" w:rsidP="00BA0762">
      <w:pPr>
        <w:rPr>
          <w:b/>
          <w:bCs/>
        </w:rPr>
      </w:pPr>
      <w:r w:rsidRPr="00BA0762">
        <w:rPr>
          <w:b/>
          <w:bCs/>
        </w:rPr>
        <w:t xml:space="preserve">Microbiome-Chemical Correlation &amp; Toxicity </w:t>
      </w:r>
      <w:proofErr w:type="spellStart"/>
      <w:r w:rsidRPr="00BA0762">
        <w:rPr>
          <w:b/>
          <w:bCs/>
        </w:rPr>
        <w:t>Modeling</w:t>
      </w:r>
      <w:proofErr w:type="spellEnd"/>
    </w:p>
    <w:p w14:paraId="23D52369" w14:textId="5842C64B" w:rsidR="00BA0762" w:rsidRPr="00BA0762" w:rsidRDefault="00BA0762" w:rsidP="00BA0762">
      <w:pPr>
        <w:numPr>
          <w:ilvl w:val="0"/>
          <w:numId w:val="5"/>
        </w:numPr>
      </w:pPr>
      <w:r w:rsidRPr="00BA0762">
        <w:rPr>
          <w:b/>
          <w:bCs/>
        </w:rPr>
        <w:t>Tool(s):</w:t>
      </w:r>
      <w:r w:rsidRPr="00BA0762">
        <w:t xml:space="preserve"> High-Performance Liquid Chromatography (HPLC) or LC-MS/MS data integration suites; R-based multivariate </w:t>
      </w:r>
      <w:proofErr w:type="spellStart"/>
      <w:r w:rsidRPr="00BA0762">
        <w:t>modeling</w:t>
      </w:r>
      <w:proofErr w:type="spellEnd"/>
      <w:r w:rsidRPr="00BA0762">
        <w:t xml:space="preserve"> packages; co</w:t>
      </w:r>
      <w:r>
        <w:t>-</w:t>
      </w:r>
      <w:r w:rsidRPr="00BA0762">
        <w:t>occurrence network layout software.</w:t>
      </w:r>
    </w:p>
    <w:p w14:paraId="42BC3083" w14:textId="77777777" w:rsidR="00BA0762" w:rsidRPr="00BA0762" w:rsidRDefault="00BA0762" w:rsidP="00BA0762">
      <w:pPr>
        <w:numPr>
          <w:ilvl w:val="0"/>
          <w:numId w:val="5"/>
        </w:numPr>
      </w:pPr>
      <w:r w:rsidRPr="00BA0762">
        <w:rPr>
          <w:b/>
          <w:bCs/>
        </w:rPr>
        <w:t>Database(s):</w:t>
      </w:r>
      <w:r w:rsidRPr="00BA0762">
        <w:t xml:space="preserve"> Chemical metadata matrices recording absolute quantities of nicotine, specific TSNAs (NNN, NNK, NAT, NAB), mycotoxins (aflatoxins, ochratoxin A), and toxic heavy metals (lead, cadmium, arsenic, chromium).</w:t>
      </w:r>
    </w:p>
    <w:p w14:paraId="489DE25D" w14:textId="77777777" w:rsidR="00BA0762" w:rsidRPr="00BA0762" w:rsidRDefault="00BA0762" w:rsidP="00BA0762">
      <w:pPr>
        <w:numPr>
          <w:ilvl w:val="0"/>
          <w:numId w:val="5"/>
        </w:numPr>
      </w:pPr>
      <w:r w:rsidRPr="00BA0762">
        <w:rPr>
          <w:b/>
          <w:bCs/>
        </w:rPr>
        <w:t>Normalization:</w:t>
      </w:r>
      <w:r w:rsidRPr="00BA0762">
        <w:t xml:space="preserve"> Core filtering of sequence tables requiring a minimum relative abundance prevalence threshold to reduce sparsity noise before correlation matrix calculations.</w:t>
      </w:r>
    </w:p>
    <w:p w14:paraId="6C01DC47" w14:textId="77777777" w:rsidR="00BA0762" w:rsidRPr="00BA0762" w:rsidRDefault="00BA0762" w:rsidP="00BA0762">
      <w:pPr>
        <w:numPr>
          <w:ilvl w:val="0"/>
          <w:numId w:val="5"/>
        </w:numPr>
      </w:pPr>
      <w:r w:rsidRPr="00BA0762">
        <w:rPr>
          <w:b/>
          <w:bCs/>
        </w:rPr>
        <w:t>Goal of the analysis:</w:t>
      </w:r>
      <w:r w:rsidRPr="00BA0762">
        <w:t xml:space="preserve"> Mathematically link microbial taxonomy and functional pathway abundances with the presence of chemical toxins and carcinogens, uncovering specific bacterial-derived public health risks.</w:t>
      </w:r>
    </w:p>
    <w:p w14:paraId="1E6C8F79" w14:textId="2A07AC5A" w:rsidR="00BA0762" w:rsidRPr="00BA0762" w:rsidRDefault="00BA0762" w:rsidP="00BA0762">
      <w:pPr>
        <w:numPr>
          <w:ilvl w:val="0"/>
          <w:numId w:val="5"/>
        </w:numPr>
      </w:pPr>
      <w:r w:rsidRPr="00BA0762">
        <w:rPr>
          <w:b/>
          <w:bCs/>
        </w:rPr>
        <w:t>Key metrics or statistical approaches:</w:t>
      </w:r>
      <w:r w:rsidRPr="00BA0762">
        <w:t xml:space="preserve"> Non-parametric Spearman rank correlation coefficients (rho) or Pearson correlation matrices mapping specific microbial genera against absolute TSNA and heavy metal concentration values; Random Forest regression or multi-panel generalized linear models identifying which microbial profiles serve as strong predictive indicators of high TSNA synthesis and overall product toxicity.</w:t>
      </w:r>
    </w:p>
    <w:p w14:paraId="148C5632"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86B47"/>
    <w:multiLevelType w:val="multilevel"/>
    <w:tmpl w:val="C562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E7A8B"/>
    <w:multiLevelType w:val="multilevel"/>
    <w:tmpl w:val="01E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21B7F"/>
    <w:multiLevelType w:val="multilevel"/>
    <w:tmpl w:val="1E1C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E253D"/>
    <w:multiLevelType w:val="multilevel"/>
    <w:tmpl w:val="B9D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B43EB"/>
    <w:multiLevelType w:val="multilevel"/>
    <w:tmpl w:val="C0E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844213">
    <w:abstractNumId w:val="0"/>
  </w:num>
  <w:num w:numId="2" w16cid:durableId="1538009459">
    <w:abstractNumId w:val="4"/>
  </w:num>
  <w:num w:numId="3" w16cid:durableId="1967353640">
    <w:abstractNumId w:val="3"/>
  </w:num>
  <w:num w:numId="4" w16cid:durableId="975985601">
    <w:abstractNumId w:val="1"/>
  </w:num>
  <w:num w:numId="5" w16cid:durableId="1883132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62"/>
    <w:rsid w:val="000C3267"/>
    <w:rsid w:val="00227B78"/>
    <w:rsid w:val="007A7287"/>
    <w:rsid w:val="00850FB5"/>
    <w:rsid w:val="00B50D49"/>
    <w:rsid w:val="00BA07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EBE2"/>
  <w15:chartTrackingRefBased/>
  <w15:docId w15:val="{217469FA-09FC-49E3-A87C-ED410C1C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762"/>
    <w:rPr>
      <w:rFonts w:eastAsiaTheme="majorEastAsia" w:cstheme="majorBidi"/>
      <w:color w:val="272727" w:themeColor="text1" w:themeTint="D8"/>
    </w:rPr>
  </w:style>
  <w:style w:type="paragraph" w:styleId="Title">
    <w:name w:val="Title"/>
    <w:basedOn w:val="Normal"/>
    <w:next w:val="Normal"/>
    <w:link w:val="TitleChar"/>
    <w:uiPriority w:val="10"/>
    <w:qFormat/>
    <w:rsid w:val="00BA0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762"/>
    <w:pPr>
      <w:spacing w:before="160"/>
      <w:jc w:val="center"/>
    </w:pPr>
    <w:rPr>
      <w:i/>
      <w:iCs/>
      <w:color w:val="404040" w:themeColor="text1" w:themeTint="BF"/>
    </w:rPr>
  </w:style>
  <w:style w:type="character" w:customStyle="1" w:styleId="QuoteChar">
    <w:name w:val="Quote Char"/>
    <w:basedOn w:val="DefaultParagraphFont"/>
    <w:link w:val="Quote"/>
    <w:uiPriority w:val="29"/>
    <w:rsid w:val="00BA0762"/>
    <w:rPr>
      <w:i/>
      <w:iCs/>
      <w:color w:val="404040" w:themeColor="text1" w:themeTint="BF"/>
    </w:rPr>
  </w:style>
  <w:style w:type="paragraph" w:styleId="ListParagraph">
    <w:name w:val="List Paragraph"/>
    <w:basedOn w:val="Normal"/>
    <w:uiPriority w:val="34"/>
    <w:qFormat/>
    <w:rsid w:val="00BA0762"/>
    <w:pPr>
      <w:ind w:left="720"/>
      <w:contextualSpacing/>
    </w:pPr>
  </w:style>
  <w:style w:type="character" w:styleId="IntenseEmphasis">
    <w:name w:val="Intense Emphasis"/>
    <w:basedOn w:val="DefaultParagraphFont"/>
    <w:uiPriority w:val="21"/>
    <w:qFormat/>
    <w:rsid w:val="00BA0762"/>
    <w:rPr>
      <w:i/>
      <w:iCs/>
      <w:color w:val="2F5496" w:themeColor="accent1" w:themeShade="BF"/>
    </w:rPr>
  </w:style>
  <w:style w:type="paragraph" w:styleId="IntenseQuote">
    <w:name w:val="Intense Quote"/>
    <w:basedOn w:val="Normal"/>
    <w:next w:val="Normal"/>
    <w:link w:val="IntenseQuoteChar"/>
    <w:uiPriority w:val="30"/>
    <w:qFormat/>
    <w:rsid w:val="00BA0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762"/>
    <w:rPr>
      <w:i/>
      <w:iCs/>
      <w:color w:val="2F5496" w:themeColor="accent1" w:themeShade="BF"/>
    </w:rPr>
  </w:style>
  <w:style w:type="character" w:styleId="IntenseReference">
    <w:name w:val="Intense Reference"/>
    <w:basedOn w:val="DefaultParagraphFont"/>
    <w:uiPriority w:val="32"/>
    <w:qFormat/>
    <w:rsid w:val="00BA0762"/>
    <w:rPr>
      <w:b/>
      <w:bCs/>
      <w:smallCaps/>
      <w:color w:val="2F5496" w:themeColor="accent1" w:themeShade="BF"/>
      <w:spacing w:val="5"/>
    </w:rPr>
  </w:style>
  <w:style w:type="character" w:styleId="Hyperlink">
    <w:name w:val="Hyperlink"/>
    <w:basedOn w:val="DefaultParagraphFont"/>
    <w:uiPriority w:val="99"/>
    <w:unhideWhenUsed/>
    <w:rsid w:val="00BA0762"/>
    <w:rPr>
      <w:color w:val="0563C1" w:themeColor="hyperlink"/>
      <w:u w:val="single"/>
    </w:rPr>
  </w:style>
  <w:style w:type="character" w:styleId="UnresolvedMention">
    <w:name w:val="Unresolved Mention"/>
    <w:basedOn w:val="DefaultParagraphFont"/>
    <w:uiPriority w:val="99"/>
    <w:semiHidden/>
    <w:unhideWhenUsed/>
    <w:rsid w:val="00BA0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oi.org/10.1007/s00253-024-1315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2026-06-25T04:57:00Z</dcterms:created>
  <dcterms:modified xsi:type="dcterms:W3CDTF">2026-06-25T04:59:00Z</dcterms:modified>
</cp:coreProperties>
</file>