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D333E" w14:textId="77777777" w:rsidR="001519EC" w:rsidRPr="001519EC" w:rsidRDefault="001519EC" w:rsidP="001519EC">
      <w:pPr>
        <w:rPr>
          <w:b/>
          <w:bCs/>
          <w:sz w:val="36"/>
          <w:szCs w:val="36"/>
        </w:rPr>
      </w:pPr>
      <w:r w:rsidRPr="001519EC">
        <w:rPr>
          <w:b/>
          <w:bCs/>
          <w:sz w:val="36"/>
          <w:szCs w:val="36"/>
        </w:rPr>
        <w:t>Analysis Plan - SRP515601</w:t>
      </w:r>
    </w:p>
    <w:p w14:paraId="23D3A2F9" w14:textId="77777777" w:rsidR="001519EC" w:rsidRPr="001519EC" w:rsidRDefault="001519EC" w:rsidP="001519EC">
      <w:r w:rsidRPr="001519EC">
        <w:rPr>
          <w:b/>
          <w:bCs/>
        </w:rPr>
        <w:t>Study Accession:</w:t>
      </w:r>
      <w:r w:rsidRPr="001519EC">
        <w:t xml:space="preserve"> SRP515601 (SRA </w:t>
      </w:r>
      <w:proofErr w:type="spellStart"/>
      <w:r w:rsidRPr="001519EC">
        <w:t>BioProject</w:t>
      </w:r>
      <w:proofErr w:type="spellEnd"/>
      <w:r w:rsidRPr="001519EC">
        <w:t xml:space="preserve"> PRJNA1211116)</w:t>
      </w:r>
    </w:p>
    <w:p w14:paraId="091FEEF2" w14:textId="77777777" w:rsidR="001519EC" w:rsidRPr="001519EC" w:rsidRDefault="001519EC" w:rsidP="001519EC">
      <w:r w:rsidRPr="001519EC">
        <w:rPr>
          <w:b/>
          <w:bCs/>
        </w:rPr>
        <w:t>Study Type:</w:t>
      </w:r>
      <w:r w:rsidRPr="001519EC">
        <w:t xml:space="preserve"> Veterinary rumen microbiology, methane mitigation, and </w:t>
      </w:r>
      <w:r w:rsidRPr="001519EC">
        <w:rPr>
          <w:i/>
          <w:iCs/>
        </w:rPr>
        <w:t>in vitro</w:t>
      </w:r>
      <w:r w:rsidRPr="001519EC">
        <w:t xml:space="preserve"> anaerobic feed fermentation</w:t>
      </w:r>
    </w:p>
    <w:p w14:paraId="291E6E24" w14:textId="77777777" w:rsidR="001519EC" w:rsidRPr="001519EC" w:rsidRDefault="001519EC" w:rsidP="001519EC">
      <w:r w:rsidRPr="001519EC">
        <w:rPr>
          <w:b/>
          <w:bCs/>
        </w:rPr>
        <w:t>Sample Type:</w:t>
      </w:r>
      <w:r w:rsidRPr="001519EC">
        <w:t xml:space="preserve"> Rumen liquor matrices harvested from fistulated Indian riverine buffaloes (</w:t>
      </w:r>
      <w:r w:rsidRPr="001519EC">
        <w:rPr>
          <w:i/>
          <w:iCs/>
        </w:rPr>
        <w:t>Bubalus bubalis</w:t>
      </w:r>
      <w:r w:rsidRPr="001519EC">
        <w:t>) maintained on standardized diets</w:t>
      </w:r>
    </w:p>
    <w:p w14:paraId="0F7425B6" w14:textId="77777777" w:rsidR="001519EC" w:rsidRPr="001519EC" w:rsidRDefault="001519EC" w:rsidP="001519EC">
      <w:r w:rsidRPr="001519EC">
        <w:rPr>
          <w:b/>
          <w:bCs/>
        </w:rPr>
        <w:t>Associated Publications / DOIs:</w:t>
      </w:r>
    </w:p>
    <w:p w14:paraId="75D7674B" w14:textId="77777777" w:rsidR="001519EC" w:rsidRPr="001519EC" w:rsidRDefault="001519EC" w:rsidP="001519EC">
      <w:pPr>
        <w:numPr>
          <w:ilvl w:val="0"/>
          <w:numId w:val="1"/>
        </w:numPr>
      </w:pPr>
      <w:r w:rsidRPr="001519EC">
        <w:t>Malik et al., 2025 (</w:t>
      </w:r>
      <w:r w:rsidRPr="001519EC">
        <w:rPr>
          <w:i/>
          <w:iCs/>
        </w:rPr>
        <w:t>Microorganisms</w:t>
      </w:r>
      <w:r w:rsidRPr="001519EC">
        <w:t xml:space="preserve">): </w:t>
      </w:r>
      <w:hyperlink r:id="rId5" w:tgtFrame="_blank" w:history="1">
        <w:r w:rsidRPr="001519EC">
          <w:rPr>
            <w:rStyle w:val="Hyperlink"/>
          </w:rPr>
          <w:t>https://doi.org/10.3390/microorganisms13010123</w:t>
        </w:r>
      </w:hyperlink>
    </w:p>
    <w:p w14:paraId="63A2A094" w14:textId="23BA08FE" w:rsidR="001519EC" w:rsidRPr="001519EC" w:rsidRDefault="001519EC" w:rsidP="001519EC">
      <w:r w:rsidRPr="001519EC">
        <w:rPr>
          <w:b/>
          <w:bCs/>
        </w:rPr>
        <w:t>Study Design:</w:t>
      </w:r>
      <w:r w:rsidRPr="001519EC">
        <w:t xml:space="preserve"> Controlled </w:t>
      </w:r>
      <w:r w:rsidRPr="001519EC">
        <w:rPr>
          <w:i/>
          <w:iCs/>
        </w:rPr>
        <w:t>in vitro</w:t>
      </w:r>
      <w:r w:rsidRPr="001519EC">
        <w:t xml:space="preserve"> anaerobic batch-culture assessment evaluating the </w:t>
      </w:r>
      <w:proofErr w:type="spellStart"/>
      <w:r w:rsidRPr="001519EC">
        <w:t>anti</w:t>
      </w:r>
      <w:r>
        <w:t xml:space="preserve"> </w:t>
      </w:r>
      <w:r w:rsidRPr="001519EC">
        <w:t>methanogenic</w:t>
      </w:r>
      <w:proofErr w:type="spellEnd"/>
      <w:r w:rsidRPr="001519EC">
        <w:t xml:space="preserve"> potential of macroalgal seaweeds when integrated into livestock diets. Rumen fluid collected from fistulated buffalo donors was processed anaerobically to inoculate basal substrates consisting of finger millet straw and concentrate mixture mixed in a 50:50 ratio. Substrates were supplemented with varying doses (ranging from 1% to 5%) of targeted tropical seaweed biomass</w:t>
      </w:r>
      <w:r>
        <w:t xml:space="preserve"> </w:t>
      </w:r>
      <w:r w:rsidRPr="001519EC">
        <w:t xml:space="preserve">including the green macroalga </w:t>
      </w:r>
      <w:r w:rsidRPr="001519EC">
        <w:rPr>
          <w:i/>
          <w:iCs/>
        </w:rPr>
        <w:t xml:space="preserve">Ulva </w:t>
      </w:r>
      <w:proofErr w:type="spellStart"/>
      <w:r w:rsidRPr="001519EC">
        <w:rPr>
          <w:i/>
          <w:iCs/>
        </w:rPr>
        <w:t>lactuca</w:t>
      </w:r>
      <w:proofErr w:type="spellEnd"/>
      <w:r w:rsidRPr="001519EC">
        <w:t xml:space="preserve">, the red macroalga </w:t>
      </w:r>
      <w:proofErr w:type="spellStart"/>
      <w:r w:rsidRPr="001519EC">
        <w:rPr>
          <w:i/>
          <w:iCs/>
        </w:rPr>
        <w:t>Kappaphycus</w:t>
      </w:r>
      <w:proofErr w:type="spellEnd"/>
      <w:r w:rsidRPr="001519EC">
        <w:rPr>
          <w:i/>
          <w:iCs/>
        </w:rPr>
        <w:t xml:space="preserve"> </w:t>
      </w:r>
      <w:proofErr w:type="spellStart"/>
      <w:r w:rsidRPr="001519EC">
        <w:rPr>
          <w:i/>
          <w:iCs/>
        </w:rPr>
        <w:t>alvarezii</w:t>
      </w:r>
      <w:proofErr w:type="spellEnd"/>
      <w:r w:rsidRPr="001519EC">
        <w:t xml:space="preserve">, and the brown macroalga </w:t>
      </w:r>
      <w:r w:rsidRPr="001519EC">
        <w:rPr>
          <w:i/>
          <w:iCs/>
        </w:rPr>
        <w:t xml:space="preserve">Sargassum </w:t>
      </w:r>
      <w:proofErr w:type="spellStart"/>
      <w:r w:rsidRPr="001519EC">
        <w:rPr>
          <w:i/>
          <w:iCs/>
        </w:rPr>
        <w:t>wightii</w:t>
      </w:r>
      <w:proofErr w:type="spellEnd"/>
      <w:r w:rsidRPr="001519EC">
        <w:t>. Fermentation occurred inside sealed serum bottles at 39°C under a continuous carbon dioxide atmosphere. Total metagenomic DNA extracted from post-fermentation residues underwent amplicon sequencing of the 16S rRNA gene (V3–V4 hypervariable loop region) on an Illumina platform to trace structural adaptations within the core bacterial and archaeal populations.</w:t>
      </w:r>
    </w:p>
    <w:p w14:paraId="70F7432D" w14:textId="77777777" w:rsidR="001519EC" w:rsidRPr="001519EC" w:rsidRDefault="001519EC" w:rsidP="001519EC">
      <w:pPr>
        <w:rPr>
          <w:b/>
          <w:bCs/>
        </w:rPr>
      </w:pPr>
      <w:r w:rsidRPr="001519EC">
        <w:rPr>
          <w:b/>
          <w:bCs/>
        </w:rPr>
        <w:t>Taxonomic &amp; Rumen Microbiome Profiling</w:t>
      </w:r>
    </w:p>
    <w:p w14:paraId="58D90763" w14:textId="77777777" w:rsidR="001519EC" w:rsidRPr="001519EC" w:rsidRDefault="001519EC" w:rsidP="001519EC">
      <w:pPr>
        <w:numPr>
          <w:ilvl w:val="0"/>
          <w:numId w:val="2"/>
        </w:numPr>
      </w:pPr>
      <w:r w:rsidRPr="001519EC">
        <w:rPr>
          <w:b/>
          <w:bCs/>
        </w:rPr>
        <w:t>Tool(s):</w:t>
      </w:r>
      <w:r w:rsidRPr="001519EC">
        <w:t xml:space="preserve"> QIIME2 pipeline framework for raw read quality filtration, demultiplexing, and Amplicon Sequence Variant (ASV) denoising; </w:t>
      </w:r>
      <w:proofErr w:type="spellStart"/>
      <w:r w:rsidRPr="001519EC">
        <w:t>Phyloseq</w:t>
      </w:r>
      <w:proofErr w:type="spellEnd"/>
      <w:r w:rsidRPr="001519EC">
        <w:t xml:space="preserve"> and vegan R environment tools for downstream alpha/beta-diversity calculations.</w:t>
      </w:r>
    </w:p>
    <w:p w14:paraId="18FD4C7D" w14:textId="63454DC1" w:rsidR="001519EC" w:rsidRPr="001519EC" w:rsidRDefault="001519EC" w:rsidP="001519EC">
      <w:pPr>
        <w:numPr>
          <w:ilvl w:val="0"/>
          <w:numId w:val="2"/>
        </w:numPr>
      </w:pPr>
      <w:r w:rsidRPr="001519EC">
        <w:rPr>
          <w:b/>
          <w:bCs/>
        </w:rPr>
        <w:t>Database(s):</w:t>
      </w:r>
      <w:r w:rsidRPr="001519EC">
        <w:t xml:space="preserve"> SILVA v138 reference database or the specialized RIM-DB (Rumen </w:t>
      </w:r>
      <w:proofErr w:type="spellStart"/>
      <w:r w:rsidRPr="001519EC">
        <w:t>IIdb</w:t>
      </w:r>
      <w:proofErr w:type="spellEnd"/>
      <w:r w:rsidRPr="001519EC">
        <w:t xml:space="preserve">) taxonomy reference </w:t>
      </w:r>
      <w:proofErr w:type="spellStart"/>
      <w:r w:rsidRPr="001519EC">
        <w:t>catalog</w:t>
      </w:r>
      <w:proofErr w:type="spellEnd"/>
      <w:r w:rsidRPr="001519EC">
        <w:t xml:space="preserve"> tailored for rumen</w:t>
      </w:r>
      <w:r>
        <w:t xml:space="preserve"> </w:t>
      </w:r>
      <w:r w:rsidRPr="001519EC">
        <w:t>dwelling prokaryotes and methanogenic archaea.</w:t>
      </w:r>
    </w:p>
    <w:p w14:paraId="486C23FD" w14:textId="77777777" w:rsidR="001519EC" w:rsidRPr="001519EC" w:rsidRDefault="001519EC" w:rsidP="001519EC">
      <w:pPr>
        <w:numPr>
          <w:ilvl w:val="0"/>
          <w:numId w:val="2"/>
        </w:numPr>
      </w:pPr>
      <w:r w:rsidRPr="001519EC">
        <w:rPr>
          <w:b/>
          <w:bCs/>
        </w:rPr>
        <w:t>Normalization:</w:t>
      </w:r>
      <w:r w:rsidRPr="001519EC">
        <w:t xml:space="preserve"> Read count depth normalization via minimum sequence coverage thresholds; conversion of absolute sequence abundance arrays into relative percentage abundance matrices.</w:t>
      </w:r>
    </w:p>
    <w:p w14:paraId="77AD6CCF" w14:textId="77777777" w:rsidR="001519EC" w:rsidRPr="001519EC" w:rsidRDefault="001519EC" w:rsidP="001519EC">
      <w:pPr>
        <w:numPr>
          <w:ilvl w:val="0"/>
          <w:numId w:val="2"/>
        </w:numPr>
      </w:pPr>
      <w:r w:rsidRPr="001519EC">
        <w:rPr>
          <w:b/>
          <w:bCs/>
        </w:rPr>
        <w:t>Goal of the analysis:</w:t>
      </w:r>
      <w:r w:rsidRPr="001519EC">
        <w:t xml:space="preserve"> Profile the baseline core bacteriome (</w:t>
      </w:r>
      <w:proofErr w:type="spellStart"/>
      <w:r w:rsidRPr="001519EC">
        <w:rPr>
          <w:i/>
          <w:iCs/>
        </w:rPr>
        <w:t>Prevotella</w:t>
      </w:r>
      <w:proofErr w:type="spellEnd"/>
      <w:r w:rsidRPr="001519EC">
        <w:t xml:space="preserve">, </w:t>
      </w:r>
      <w:proofErr w:type="spellStart"/>
      <w:r w:rsidRPr="001519EC">
        <w:rPr>
          <w:i/>
          <w:iCs/>
        </w:rPr>
        <w:t>Ruminococcus</w:t>
      </w:r>
      <w:proofErr w:type="spellEnd"/>
      <w:r w:rsidRPr="001519EC">
        <w:t xml:space="preserve">, </w:t>
      </w:r>
      <w:proofErr w:type="spellStart"/>
      <w:r w:rsidRPr="001519EC">
        <w:rPr>
          <w:i/>
          <w:iCs/>
        </w:rPr>
        <w:t>Fibrobacter</w:t>
      </w:r>
      <w:proofErr w:type="spellEnd"/>
      <w:r w:rsidRPr="001519EC">
        <w:t xml:space="preserve">) and methanogenic </w:t>
      </w:r>
      <w:proofErr w:type="spellStart"/>
      <w:r w:rsidRPr="001519EC">
        <w:t>archaeome</w:t>
      </w:r>
      <w:proofErr w:type="spellEnd"/>
      <w:r w:rsidRPr="001519EC">
        <w:t xml:space="preserve"> (</w:t>
      </w:r>
      <w:proofErr w:type="spellStart"/>
      <w:r w:rsidRPr="001519EC">
        <w:rPr>
          <w:i/>
          <w:iCs/>
        </w:rPr>
        <w:t>Methanobrevibacter</w:t>
      </w:r>
      <w:proofErr w:type="spellEnd"/>
      <w:r w:rsidRPr="001519EC">
        <w:t>) of the buffalo rumen ecosystem; map taxonomic abundance shifts triggered by different macroalgae species and dose levels.</w:t>
      </w:r>
    </w:p>
    <w:p w14:paraId="5334417A" w14:textId="77777777" w:rsidR="001519EC" w:rsidRPr="001519EC" w:rsidRDefault="001519EC" w:rsidP="001519EC">
      <w:pPr>
        <w:numPr>
          <w:ilvl w:val="0"/>
          <w:numId w:val="2"/>
        </w:numPr>
      </w:pPr>
      <w:r w:rsidRPr="001519EC">
        <w:rPr>
          <w:b/>
          <w:bCs/>
        </w:rPr>
        <w:t>Key metrics or statistical approaches:</w:t>
      </w:r>
      <w:r w:rsidRPr="001519EC">
        <w:t xml:space="preserve"> Shannon, Simpson, and Chao1 alpha diversity metrics; Principal Coordinate Analysis (</w:t>
      </w:r>
      <w:proofErr w:type="spellStart"/>
      <w:r w:rsidRPr="001519EC">
        <w:t>PCoA</w:t>
      </w:r>
      <w:proofErr w:type="spellEnd"/>
      <w:r w:rsidRPr="001519EC">
        <w:t>) on Bray-</w:t>
      </w:r>
      <w:proofErr w:type="gramStart"/>
      <w:r w:rsidRPr="001519EC">
        <w:t>Curtis</w:t>
      </w:r>
      <w:proofErr w:type="gramEnd"/>
      <w:r w:rsidRPr="001519EC">
        <w:t xml:space="preserve"> dissimilarity matrices paired with Permutational Multivariate Analysis of Variance (PERMANOVA) to partition variances across treatments.</w:t>
      </w:r>
    </w:p>
    <w:p w14:paraId="3F6A93F0" w14:textId="77777777" w:rsidR="001519EC" w:rsidRDefault="001519EC" w:rsidP="001519EC">
      <w:pPr>
        <w:rPr>
          <w:b/>
          <w:bCs/>
        </w:rPr>
      </w:pPr>
    </w:p>
    <w:p w14:paraId="5E0D585B" w14:textId="77777777" w:rsidR="001519EC" w:rsidRDefault="001519EC" w:rsidP="001519EC">
      <w:pPr>
        <w:rPr>
          <w:b/>
          <w:bCs/>
        </w:rPr>
      </w:pPr>
    </w:p>
    <w:p w14:paraId="16C0BDF7" w14:textId="76BA243E" w:rsidR="001519EC" w:rsidRPr="001519EC" w:rsidRDefault="001519EC" w:rsidP="001519EC">
      <w:pPr>
        <w:rPr>
          <w:b/>
          <w:bCs/>
        </w:rPr>
      </w:pPr>
      <w:r w:rsidRPr="001519EC">
        <w:rPr>
          <w:b/>
          <w:bCs/>
        </w:rPr>
        <w:lastRenderedPageBreak/>
        <w:t>Anti-Methanogenic Efficiency Curation</w:t>
      </w:r>
    </w:p>
    <w:p w14:paraId="7B445BA2" w14:textId="77777777" w:rsidR="001519EC" w:rsidRPr="001519EC" w:rsidRDefault="001519EC" w:rsidP="001519EC">
      <w:pPr>
        <w:numPr>
          <w:ilvl w:val="0"/>
          <w:numId w:val="3"/>
        </w:numPr>
      </w:pPr>
      <w:r w:rsidRPr="001519EC">
        <w:rPr>
          <w:b/>
          <w:bCs/>
        </w:rPr>
        <w:t>Tool(s):</w:t>
      </w:r>
      <w:r w:rsidRPr="001519EC">
        <w:t xml:space="preserve"> Gas chromatography (GC) software modules for peak-area calculation and quantification of trace gas mixtures.</w:t>
      </w:r>
    </w:p>
    <w:p w14:paraId="087C4AD1" w14:textId="270F97B4" w:rsidR="001519EC" w:rsidRPr="001519EC" w:rsidRDefault="001519EC" w:rsidP="001519EC">
      <w:pPr>
        <w:numPr>
          <w:ilvl w:val="0"/>
          <w:numId w:val="3"/>
        </w:numPr>
      </w:pPr>
      <w:r w:rsidRPr="001519EC">
        <w:rPr>
          <w:b/>
          <w:bCs/>
        </w:rPr>
        <w:t>Database(s):</w:t>
      </w:r>
      <w:r w:rsidRPr="001519EC">
        <w:t xml:space="preserve"> Experimental gas kinetics datasets recording absolute values for total gas production, absolute methane (CH</w:t>
      </w:r>
      <w:r>
        <w:t>4</w:t>
      </w:r>
      <w:r w:rsidRPr="001519EC">
        <w:t>) concentration fractions, and carbon dioxide headspace values.</w:t>
      </w:r>
    </w:p>
    <w:p w14:paraId="234EFC3C" w14:textId="4F77DFB1" w:rsidR="001519EC" w:rsidRPr="001519EC" w:rsidRDefault="001519EC" w:rsidP="001519EC">
      <w:pPr>
        <w:numPr>
          <w:ilvl w:val="0"/>
          <w:numId w:val="3"/>
        </w:numPr>
      </w:pPr>
      <w:r w:rsidRPr="001519EC">
        <w:rPr>
          <w:b/>
          <w:bCs/>
        </w:rPr>
        <w:t>Normalization:</w:t>
      </w:r>
      <w:r w:rsidRPr="001519EC">
        <w:t xml:space="preserve"> Raw methane gas absolute volumes mathematically normalized against dry matter weight baselines (mL CH4</w:t>
      </w:r>
      <w:r>
        <w:t xml:space="preserve"> </w:t>
      </w:r>
      <w:r w:rsidRPr="001519EC">
        <w:t>g Dry Matter) or converted into true millimoles (mM) of gas generated.</w:t>
      </w:r>
    </w:p>
    <w:p w14:paraId="282F4824" w14:textId="2A87DDE1" w:rsidR="001519EC" w:rsidRPr="001519EC" w:rsidRDefault="001519EC" w:rsidP="001519EC">
      <w:pPr>
        <w:numPr>
          <w:ilvl w:val="0"/>
          <w:numId w:val="3"/>
        </w:numPr>
      </w:pPr>
      <w:r w:rsidRPr="001519EC">
        <w:rPr>
          <w:b/>
          <w:bCs/>
        </w:rPr>
        <w:t>Goal of the analysis:</w:t>
      </w:r>
      <w:r w:rsidRPr="001519EC">
        <w:t xml:space="preserve"> Calculate and compare the true methane</w:t>
      </w:r>
      <w:r>
        <w:t xml:space="preserve"> </w:t>
      </w:r>
      <w:r w:rsidRPr="001519EC">
        <w:t>suppression performance across seaweed groups, isolating how bromoform, organosulfur compounds, or complex polysaccharides inhibit metabolic pathways without compromising total gas kinetics.</w:t>
      </w:r>
    </w:p>
    <w:p w14:paraId="38EF455A" w14:textId="77777777" w:rsidR="001519EC" w:rsidRPr="001519EC" w:rsidRDefault="001519EC" w:rsidP="001519EC">
      <w:pPr>
        <w:numPr>
          <w:ilvl w:val="0"/>
          <w:numId w:val="3"/>
        </w:numPr>
      </w:pPr>
      <w:r w:rsidRPr="001519EC">
        <w:rPr>
          <w:b/>
          <w:bCs/>
        </w:rPr>
        <w:t>Key metrics or statistical approaches:</w:t>
      </w:r>
      <w:r w:rsidRPr="001519EC">
        <w:t xml:space="preserve"> Percent methane reduction calculations (e.g., tracking how 2% to 4% inclusion levels of red or brown seaweeds significantly drop total methane outputs compared to untreated control substrates).</w:t>
      </w:r>
    </w:p>
    <w:p w14:paraId="4E4450FB" w14:textId="77777777" w:rsidR="001519EC" w:rsidRPr="001519EC" w:rsidRDefault="001519EC" w:rsidP="001519EC">
      <w:pPr>
        <w:rPr>
          <w:b/>
          <w:bCs/>
        </w:rPr>
      </w:pPr>
      <w:r w:rsidRPr="001519EC">
        <w:rPr>
          <w:b/>
          <w:bCs/>
        </w:rPr>
        <w:t>Fermentation Energetics &amp; Digestibility Metrics</w:t>
      </w:r>
    </w:p>
    <w:p w14:paraId="2DE38B5F" w14:textId="77777777" w:rsidR="001519EC" w:rsidRPr="001519EC" w:rsidRDefault="001519EC" w:rsidP="001519EC">
      <w:pPr>
        <w:numPr>
          <w:ilvl w:val="0"/>
          <w:numId w:val="4"/>
        </w:numPr>
      </w:pPr>
      <w:r w:rsidRPr="001519EC">
        <w:rPr>
          <w:b/>
          <w:bCs/>
        </w:rPr>
        <w:t>Tool(s):</w:t>
      </w:r>
      <w:r w:rsidRPr="001519EC">
        <w:t xml:space="preserve"> High-Performance Liquid Chromatography (HPLC) or Gas-Liquid Chromatography (GLC) recording suites tracking volatile fatty acid (VFA) separation arrays.</w:t>
      </w:r>
    </w:p>
    <w:p w14:paraId="0D667B5B" w14:textId="3E7A9D05" w:rsidR="001519EC" w:rsidRPr="001519EC" w:rsidRDefault="001519EC" w:rsidP="001519EC">
      <w:pPr>
        <w:numPr>
          <w:ilvl w:val="0"/>
          <w:numId w:val="4"/>
        </w:numPr>
      </w:pPr>
      <w:r w:rsidRPr="001519EC">
        <w:rPr>
          <w:b/>
          <w:bCs/>
        </w:rPr>
        <w:t>Database(s):</w:t>
      </w:r>
      <w:r w:rsidRPr="001519EC">
        <w:t xml:space="preserve"> Quantitative matrices mapping </w:t>
      </w:r>
      <w:r w:rsidRPr="001519EC">
        <w:rPr>
          <w:i/>
          <w:iCs/>
        </w:rPr>
        <w:t>in vitro</w:t>
      </w:r>
      <w:r w:rsidRPr="001519EC">
        <w:t xml:space="preserve"> dry matter digestibility (</w:t>
      </w:r>
      <w:r>
        <w:t>%</w:t>
      </w:r>
      <w:r w:rsidRPr="001519EC">
        <w:t xml:space="preserve">IVDMD), </w:t>
      </w:r>
      <w:r w:rsidRPr="001519EC">
        <w:rPr>
          <w:i/>
          <w:iCs/>
        </w:rPr>
        <w:t>in vitro</w:t>
      </w:r>
      <w:r w:rsidRPr="001519EC">
        <w:t xml:space="preserve"> organic matter digestibility (%IVOMD), ammonia-nitrogen (NH3N) concentration pools, and individual short-chain fatty acid balances.</w:t>
      </w:r>
    </w:p>
    <w:p w14:paraId="2F96FC3F" w14:textId="77777777" w:rsidR="001519EC" w:rsidRPr="001519EC" w:rsidRDefault="001519EC" w:rsidP="001519EC">
      <w:pPr>
        <w:numPr>
          <w:ilvl w:val="0"/>
          <w:numId w:val="4"/>
        </w:numPr>
      </w:pPr>
      <w:r w:rsidRPr="001519EC">
        <w:rPr>
          <w:b/>
          <w:bCs/>
        </w:rPr>
        <w:t>Normalization:</w:t>
      </w:r>
      <w:r w:rsidRPr="001519EC">
        <w:t xml:space="preserve"> Individual fatty acid metrics normalized as molar percentages (mol/100 mol) of total VFA concentrations.</w:t>
      </w:r>
    </w:p>
    <w:p w14:paraId="4E57BA7A" w14:textId="77777777" w:rsidR="001519EC" w:rsidRPr="001519EC" w:rsidRDefault="001519EC" w:rsidP="001519EC">
      <w:pPr>
        <w:numPr>
          <w:ilvl w:val="0"/>
          <w:numId w:val="4"/>
        </w:numPr>
      </w:pPr>
      <w:r w:rsidRPr="001519EC">
        <w:rPr>
          <w:b/>
          <w:bCs/>
        </w:rPr>
        <w:t>Goal of the analysis:</w:t>
      </w:r>
      <w:r w:rsidRPr="001519EC">
        <w:t xml:space="preserve"> Determine whether seaweed integration impairs structural </w:t>
      </w:r>
      <w:proofErr w:type="spellStart"/>
      <w:r w:rsidRPr="001519EC">
        <w:t>fiber</w:t>
      </w:r>
      <w:proofErr w:type="spellEnd"/>
      <w:r w:rsidRPr="001519EC">
        <w:t xml:space="preserve"> degradation or shifts metabolic pathways away from acetate toward propionate creation, which serves as an alternative hydrogen sink in the rumen.</w:t>
      </w:r>
    </w:p>
    <w:p w14:paraId="1699C000" w14:textId="77777777" w:rsidR="001519EC" w:rsidRPr="001519EC" w:rsidRDefault="001519EC" w:rsidP="001519EC">
      <w:pPr>
        <w:numPr>
          <w:ilvl w:val="0"/>
          <w:numId w:val="4"/>
        </w:numPr>
      </w:pPr>
      <w:r w:rsidRPr="001519EC">
        <w:rPr>
          <w:b/>
          <w:bCs/>
        </w:rPr>
        <w:t>Key metrics or statistical approaches:</w:t>
      </w:r>
      <w:r w:rsidRPr="001519EC">
        <w:t xml:space="preserve"> Acetate-to-propionate (A:P) ratio dynamics; calculation of absolute VFA changes; and analysis of variance (ANOVA) tracking the impacts of dose levels on dry matter digestion percentages.</w:t>
      </w:r>
    </w:p>
    <w:p w14:paraId="23678623" w14:textId="77777777" w:rsidR="001519EC" w:rsidRPr="001519EC" w:rsidRDefault="001519EC" w:rsidP="001519EC">
      <w:pPr>
        <w:rPr>
          <w:b/>
          <w:bCs/>
        </w:rPr>
      </w:pPr>
      <w:r w:rsidRPr="001519EC">
        <w:rPr>
          <w:b/>
          <w:bCs/>
        </w:rPr>
        <w:t>Multivariate Ecological &amp; Metabolite Correlation Analyses</w:t>
      </w:r>
    </w:p>
    <w:p w14:paraId="5591A0CA" w14:textId="77777777" w:rsidR="001519EC" w:rsidRPr="001519EC" w:rsidRDefault="001519EC" w:rsidP="001519EC">
      <w:pPr>
        <w:numPr>
          <w:ilvl w:val="0"/>
          <w:numId w:val="5"/>
        </w:numPr>
      </w:pPr>
      <w:r w:rsidRPr="001519EC">
        <w:rPr>
          <w:b/>
          <w:bCs/>
        </w:rPr>
        <w:t>Tool(s):</w:t>
      </w:r>
      <w:r w:rsidRPr="001519EC">
        <w:t xml:space="preserve"> Software libraries mapping correlation network modularity; R ecosystems linking taxonomic abundance matrices with chemical indicators.</w:t>
      </w:r>
    </w:p>
    <w:p w14:paraId="4ED24870" w14:textId="77777777" w:rsidR="001519EC" w:rsidRPr="001519EC" w:rsidRDefault="001519EC" w:rsidP="001519EC">
      <w:pPr>
        <w:numPr>
          <w:ilvl w:val="0"/>
          <w:numId w:val="5"/>
        </w:numPr>
      </w:pPr>
      <w:r w:rsidRPr="001519EC">
        <w:rPr>
          <w:b/>
          <w:bCs/>
        </w:rPr>
        <w:t>Database(s):</w:t>
      </w:r>
      <w:r w:rsidRPr="001519EC">
        <w:t xml:space="preserve"> Combined datasets containing matching taxonomic relative abundances, VFA profiles, absolute methane volumes, and macroalgae biochemical characteristics.</w:t>
      </w:r>
    </w:p>
    <w:p w14:paraId="7431CF78" w14:textId="77777777" w:rsidR="001519EC" w:rsidRPr="001519EC" w:rsidRDefault="001519EC" w:rsidP="001519EC">
      <w:pPr>
        <w:numPr>
          <w:ilvl w:val="0"/>
          <w:numId w:val="5"/>
        </w:numPr>
      </w:pPr>
      <w:r w:rsidRPr="001519EC">
        <w:rPr>
          <w:b/>
          <w:bCs/>
        </w:rPr>
        <w:t>Normalization:</w:t>
      </w:r>
      <w:r w:rsidRPr="001519EC">
        <w:t xml:space="preserve"> Core filtering of sequencing data requiring a 0.5% relative abundance baseline threshold across at least 50% of the sample set to remove background amplification noise.</w:t>
      </w:r>
    </w:p>
    <w:p w14:paraId="35F1262E" w14:textId="77777777" w:rsidR="001519EC" w:rsidRPr="001519EC" w:rsidRDefault="001519EC" w:rsidP="001519EC">
      <w:pPr>
        <w:numPr>
          <w:ilvl w:val="0"/>
          <w:numId w:val="5"/>
        </w:numPr>
      </w:pPr>
      <w:r w:rsidRPr="001519EC">
        <w:rPr>
          <w:b/>
          <w:bCs/>
        </w:rPr>
        <w:t>Goal of the analysis:</w:t>
      </w:r>
      <w:r w:rsidRPr="001519EC">
        <w:t xml:space="preserve"> Model the co-occurrence interactions between specific rumen microbes and metabolic profiles, verifying which bacterial lineages (e.g., propionate-</w:t>
      </w:r>
      <w:r w:rsidRPr="001519EC">
        <w:lastRenderedPageBreak/>
        <w:t xml:space="preserve">producing </w:t>
      </w:r>
      <w:proofErr w:type="spellStart"/>
      <w:r w:rsidRPr="001519EC">
        <w:rPr>
          <w:i/>
          <w:iCs/>
        </w:rPr>
        <w:t>Fibrobacteres</w:t>
      </w:r>
      <w:proofErr w:type="spellEnd"/>
      <w:r w:rsidRPr="001519EC">
        <w:t xml:space="preserve"> or </w:t>
      </w:r>
      <w:r w:rsidRPr="001519EC">
        <w:rPr>
          <w:i/>
          <w:iCs/>
        </w:rPr>
        <w:t>Bacteroidetes</w:t>
      </w:r>
      <w:r w:rsidRPr="001519EC">
        <w:t>) expand to fill the niche when methanogenic archaea are suppressed.</w:t>
      </w:r>
    </w:p>
    <w:p w14:paraId="7F5288A6" w14:textId="75EBEEE0" w:rsidR="001519EC" w:rsidRPr="001519EC" w:rsidRDefault="001519EC" w:rsidP="001519EC">
      <w:pPr>
        <w:numPr>
          <w:ilvl w:val="0"/>
          <w:numId w:val="5"/>
        </w:numPr>
      </w:pPr>
      <w:r w:rsidRPr="001519EC">
        <w:rPr>
          <w:b/>
          <w:bCs/>
        </w:rPr>
        <w:t>Key metrics or statistical approaches:</w:t>
      </w:r>
      <w:r w:rsidRPr="001519EC">
        <w:t xml:space="preserve"> Non-parametric Spearman rank correlation coefficients (rh</w:t>
      </w:r>
      <w:r>
        <w:t>o</w:t>
      </w:r>
      <w:r w:rsidRPr="001519EC">
        <w:t>) or Pearson matrices linking specific microbial ASV clusters with methane mitigation, propionate enrichment, or acetate shifts; multi</w:t>
      </w:r>
      <w:r>
        <w:t xml:space="preserve"> </w:t>
      </w:r>
      <w:r w:rsidRPr="001519EC">
        <w:t xml:space="preserve">panel regression </w:t>
      </w:r>
      <w:proofErr w:type="spellStart"/>
      <w:r w:rsidRPr="001519EC">
        <w:t>modeling</w:t>
      </w:r>
      <w:proofErr w:type="spellEnd"/>
      <w:r w:rsidRPr="001519EC">
        <w:t xml:space="preserve"> to pinpoint the exact macroalgal dose sweet spot that optimizes methane reduction while safeguarding </w:t>
      </w:r>
      <w:proofErr w:type="spellStart"/>
      <w:r w:rsidRPr="001519EC">
        <w:t>fiber</w:t>
      </w:r>
      <w:proofErr w:type="spellEnd"/>
      <w:r w:rsidRPr="001519EC">
        <w:t xml:space="preserve"> digestion.</w:t>
      </w:r>
    </w:p>
    <w:p w14:paraId="24D2683F" w14:textId="77777777" w:rsidR="000C3267" w:rsidRDefault="000C3267"/>
    <w:sectPr w:rsidR="000C32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BB347B"/>
    <w:multiLevelType w:val="multilevel"/>
    <w:tmpl w:val="1E923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692C5C"/>
    <w:multiLevelType w:val="multilevel"/>
    <w:tmpl w:val="E710F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8C6BEB"/>
    <w:multiLevelType w:val="multilevel"/>
    <w:tmpl w:val="DBA28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E3006D"/>
    <w:multiLevelType w:val="multilevel"/>
    <w:tmpl w:val="EC309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EB4658"/>
    <w:multiLevelType w:val="multilevel"/>
    <w:tmpl w:val="BAFAB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6082557">
    <w:abstractNumId w:val="3"/>
  </w:num>
  <w:num w:numId="2" w16cid:durableId="1488278509">
    <w:abstractNumId w:val="1"/>
  </w:num>
  <w:num w:numId="3" w16cid:durableId="1803965139">
    <w:abstractNumId w:val="2"/>
  </w:num>
  <w:num w:numId="4" w16cid:durableId="1175876772">
    <w:abstractNumId w:val="0"/>
  </w:num>
  <w:num w:numId="5" w16cid:durableId="11339071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9EC"/>
    <w:rsid w:val="00093DA7"/>
    <w:rsid w:val="000C3267"/>
    <w:rsid w:val="001519EC"/>
    <w:rsid w:val="00227B78"/>
    <w:rsid w:val="007A7287"/>
    <w:rsid w:val="00850FB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9E454"/>
  <w15:chartTrackingRefBased/>
  <w15:docId w15:val="{52B4FDB1-6711-4DA2-AB42-152D8694B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19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519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519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19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19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19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19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19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19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19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519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519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19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19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19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19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19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19EC"/>
    <w:rPr>
      <w:rFonts w:eastAsiaTheme="majorEastAsia" w:cstheme="majorBidi"/>
      <w:color w:val="272727" w:themeColor="text1" w:themeTint="D8"/>
    </w:rPr>
  </w:style>
  <w:style w:type="paragraph" w:styleId="Title">
    <w:name w:val="Title"/>
    <w:basedOn w:val="Normal"/>
    <w:next w:val="Normal"/>
    <w:link w:val="TitleChar"/>
    <w:uiPriority w:val="10"/>
    <w:qFormat/>
    <w:rsid w:val="001519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19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19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19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19EC"/>
    <w:pPr>
      <w:spacing w:before="160"/>
      <w:jc w:val="center"/>
    </w:pPr>
    <w:rPr>
      <w:i/>
      <w:iCs/>
      <w:color w:val="404040" w:themeColor="text1" w:themeTint="BF"/>
    </w:rPr>
  </w:style>
  <w:style w:type="character" w:customStyle="1" w:styleId="QuoteChar">
    <w:name w:val="Quote Char"/>
    <w:basedOn w:val="DefaultParagraphFont"/>
    <w:link w:val="Quote"/>
    <w:uiPriority w:val="29"/>
    <w:rsid w:val="001519EC"/>
    <w:rPr>
      <w:i/>
      <w:iCs/>
      <w:color w:val="404040" w:themeColor="text1" w:themeTint="BF"/>
    </w:rPr>
  </w:style>
  <w:style w:type="paragraph" w:styleId="ListParagraph">
    <w:name w:val="List Paragraph"/>
    <w:basedOn w:val="Normal"/>
    <w:uiPriority w:val="34"/>
    <w:qFormat/>
    <w:rsid w:val="001519EC"/>
    <w:pPr>
      <w:ind w:left="720"/>
      <w:contextualSpacing/>
    </w:pPr>
  </w:style>
  <w:style w:type="character" w:styleId="IntenseEmphasis">
    <w:name w:val="Intense Emphasis"/>
    <w:basedOn w:val="DefaultParagraphFont"/>
    <w:uiPriority w:val="21"/>
    <w:qFormat/>
    <w:rsid w:val="001519EC"/>
    <w:rPr>
      <w:i/>
      <w:iCs/>
      <w:color w:val="2F5496" w:themeColor="accent1" w:themeShade="BF"/>
    </w:rPr>
  </w:style>
  <w:style w:type="paragraph" w:styleId="IntenseQuote">
    <w:name w:val="Intense Quote"/>
    <w:basedOn w:val="Normal"/>
    <w:next w:val="Normal"/>
    <w:link w:val="IntenseQuoteChar"/>
    <w:uiPriority w:val="30"/>
    <w:qFormat/>
    <w:rsid w:val="001519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19EC"/>
    <w:rPr>
      <w:i/>
      <w:iCs/>
      <w:color w:val="2F5496" w:themeColor="accent1" w:themeShade="BF"/>
    </w:rPr>
  </w:style>
  <w:style w:type="character" w:styleId="IntenseReference">
    <w:name w:val="Intense Reference"/>
    <w:basedOn w:val="DefaultParagraphFont"/>
    <w:uiPriority w:val="32"/>
    <w:qFormat/>
    <w:rsid w:val="001519EC"/>
    <w:rPr>
      <w:b/>
      <w:bCs/>
      <w:smallCaps/>
      <w:color w:val="2F5496" w:themeColor="accent1" w:themeShade="BF"/>
      <w:spacing w:val="5"/>
    </w:rPr>
  </w:style>
  <w:style w:type="character" w:styleId="Hyperlink">
    <w:name w:val="Hyperlink"/>
    <w:basedOn w:val="DefaultParagraphFont"/>
    <w:uiPriority w:val="99"/>
    <w:unhideWhenUsed/>
    <w:rsid w:val="001519EC"/>
    <w:rPr>
      <w:color w:val="0563C1" w:themeColor="hyperlink"/>
      <w:u w:val="single"/>
    </w:rPr>
  </w:style>
  <w:style w:type="character" w:styleId="UnresolvedMention">
    <w:name w:val="Unresolved Mention"/>
    <w:basedOn w:val="DefaultParagraphFont"/>
    <w:uiPriority w:val="99"/>
    <w:semiHidden/>
    <w:unhideWhenUsed/>
    <w:rsid w:val="001519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oogle.com/search?q=https://doi.org/10.3390/microorganisms13010123"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882</Words>
  <Characters>5032</Characters>
  <Application>Microsoft Office Word</Application>
  <DocSecurity>0</DocSecurity>
  <Lines>41</Lines>
  <Paragraphs>11</Paragraphs>
  <ScaleCrop>false</ScaleCrop>
  <Company/>
  <LinksUpToDate>false</LinksUpToDate>
  <CharactersWithSpaces>5903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Melvin Joseph</dc:creator>
  <cp:keywords/>
  <dc:description/>
  <cp:lastModifiedBy>Melvin Joseph</cp:lastModifiedBy>
  <cp:revision>1</cp:revision>
  <dcterms:created xsi:type="dcterms:W3CDTF">2026-06-15T17:29:00Z</dcterms:created>
  <dcterms:modified xsi:type="dcterms:W3CDTF">2026-06-15T17:32:00Z</dcterms:modified>
</cp:coreProperties>
</file>