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D6A1" w14:textId="77777777" w:rsidR="00F44B12" w:rsidRPr="00F44B12" w:rsidRDefault="00F44B12" w:rsidP="00F44B12">
      <w:pPr>
        <w:rPr>
          <w:b/>
          <w:bCs/>
          <w:sz w:val="36"/>
          <w:szCs w:val="36"/>
        </w:rPr>
      </w:pPr>
      <w:r w:rsidRPr="00F44B12">
        <w:rPr>
          <w:b/>
          <w:bCs/>
          <w:sz w:val="36"/>
          <w:szCs w:val="36"/>
        </w:rPr>
        <w:t>Analysis Plan - SRP571833</w:t>
      </w:r>
    </w:p>
    <w:p w14:paraId="67A4C669" w14:textId="77777777" w:rsidR="00F44B12" w:rsidRPr="00F44B12" w:rsidRDefault="00F44B12" w:rsidP="00F44B12">
      <w:r w:rsidRPr="00F44B12">
        <w:rPr>
          <w:b/>
          <w:bCs/>
        </w:rPr>
        <w:t>Study Accession:</w:t>
      </w:r>
      <w:r w:rsidRPr="00F44B12">
        <w:t xml:space="preserve"> SRP571833 (SRA </w:t>
      </w:r>
      <w:proofErr w:type="spellStart"/>
      <w:r w:rsidRPr="00F44B12">
        <w:t>BioProject</w:t>
      </w:r>
      <w:proofErr w:type="spellEnd"/>
      <w:r w:rsidRPr="00F44B12">
        <w:t xml:space="preserve"> PRJNA1238483 / Dairy Farm Wastewater Metagenome)</w:t>
      </w:r>
    </w:p>
    <w:p w14:paraId="375CA7F3" w14:textId="77777777" w:rsidR="00F44B12" w:rsidRPr="00F44B12" w:rsidRDefault="00F44B12" w:rsidP="00F44B12">
      <w:r w:rsidRPr="00F44B12">
        <w:rPr>
          <w:b/>
          <w:bCs/>
        </w:rPr>
        <w:t>Study Type:</w:t>
      </w:r>
      <w:r w:rsidRPr="00F44B12">
        <w:t xml:space="preserve"> Agricultural/industrial wastewater microbiomics, antibiotic </w:t>
      </w:r>
      <w:proofErr w:type="spellStart"/>
      <w:r w:rsidRPr="00F44B12">
        <w:t>resistome</w:t>
      </w:r>
      <w:proofErr w:type="spellEnd"/>
      <w:r w:rsidRPr="00F44B12">
        <w:t xml:space="preserve"> profiling, and virulence factor mapping</w:t>
      </w:r>
    </w:p>
    <w:p w14:paraId="78A3EE24" w14:textId="77777777" w:rsidR="00F44B12" w:rsidRPr="00F44B12" w:rsidRDefault="00F44B12" w:rsidP="00F44B12">
      <w:r w:rsidRPr="00F44B12">
        <w:rPr>
          <w:b/>
          <w:bCs/>
        </w:rPr>
        <w:t>Sample Type:</w:t>
      </w:r>
      <w:r w:rsidRPr="00F44B12">
        <w:t xml:space="preserve"> Turbid, nutrient-rich dairy wastewater (DWW) core sample containing organic debris and high particulate suspended solids collected from an industry collection pond</w:t>
      </w:r>
    </w:p>
    <w:p w14:paraId="43F3C540" w14:textId="77777777" w:rsidR="00F44B12" w:rsidRPr="00F44B12" w:rsidRDefault="00F44B12" w:rsidP="00F44B12">
      <w:r w:rsidRPr="00F44B12">
        <w:rPr>
          <w:b/>
          <w:bCs/>
        </w:rPr>
        <w:t>Associated Publications / DOIs:</w:t>
      </w:r>
    </w:p>
    <w:p w14:paraId="79E310EC" w14:textId="77777777" w:rsidR="00F44B12" w:rsidRPr="00F44B12" w:rsidRDefault="00F44B12" w:rsidP="00F44B12">
      <w:pPr>
        <w:numPr>
          <w:ilvl w:val="0"/>
          <w:numId w:val="1"/>
        </w:numPr>
      </w:pPr>
      <w:proofErr w:type="spellStart"/>
      <w:r w:rsidRPr="00F44B12">
        <w:t>Satpathy</w:t>
      </w:r>
      <w:proofErr w:type="spellEnd"/>
      <w:r w:rsidRPr="00F44B12">
        <w:t xml:space="preserve"> &amp; Pradhan, 2025 (</w:t>
      </w:r>
      <w:r w:rsidRPr="00F44B12">
        <w:rPr>
          <w:i/>
          <w:iCs/>
        </w:rPr>
        <w:t>Sci. Rep.</w:t>
      </w:r>
      <w:r w:rsidRPr="00F44B12">
        <w:t xml:space="preserve">): </w:t>
      </w:r>
      <w:hyperlink r:id="rId5" w:tgtFrame="_blank" w:history="1">
        <w:r w:rsidRPr="00F44B12">
          <w:rPr>
            <w:rStyle w:val="Hyperlink"/>
          </w:rPr>
          <w:t>https://doi.org/10.1038/s41598-025-16864-y</w:t>
        </w:r>
      </w:hyperlink>
    </w:p>
    <w:p w14:paraId="170D246C" w14:textId="030BE21D" w:rsidR="00F44B12" w:rsidRPr="00F44B12" w:rsidRDefault="00F44B12" w:rsidP="00F44B12">
      <w:r w:rsidRPr="00F44B12">
        <w:rPr>
          <w:b/>
          <w:bCs/>
        </w:rPr>
        <w:t>Study Design:</w:t>
      </w:r>
      <w:r w:rsidRPr="00F44B12">
        <w:t xml:space="preserve"> Shotgun whole-metagenome sequencing survey evaluating how high organic nutrient loading shapes microbial diversity, selects for specific cellular virulence factors (VFs), and drives the amplification of critical antibiotic resistance gene (ARG) reservoirs. Collected from an industrial collecting pond in Mayurbhanj, Odisha, India, the sample represents heavily loaded effluents characterized by elevated organic concentrations that yield low biological</w:t>
      </w:r>
      <w:r>
        <w:t>-</w:t>
      </w:r>
      <w:r w:rsidRPr="00F44B12">
        <w:t xml:space="preserve">to-chemical oxygen demand ratios, </w:t>
      </w:r>
      <w:proofErr w:type="spellStart"/>
      <w:r w:rsidRPr="00F44B12">
        <w:t>signaling</w:t>
      </w:r>
      <w:proofErr w:type="spellEnd"/>
      <w:r w:rsidRPr="00F44B12">
        <w:t xml:space="preserve"> poor baseline biodegradability. Whole</w:t>
      </w:r>
      <w:r>
        <w:t xml:space="preserve"> </w:t>
      </w:r>
      <w:r w:rsidRPr="00F44B12">
        <w:t xml:space="preserve">community environmental genomic DNA was extracted using the Qiagen </w:t>
      </w:r>
      <w:proofErr w:type="spellStart"/>
      <w:r w:rsidRPr="00F44B12">
        <w:t>DNeasy</w:t>
      </w:r>
      <w:proofErr w:type="spellEnd"/>
      <w:r w:rsidRPr="00F44B12">
        <w:t xml:space="preserve"> </w:t>
      </w:r>
      <w:proofErr w:type="spellStart"/>
      <w:r w:rsidRPr="00F44B12">
        <w:t>PowerSoil</w:t>
      </w:r>
      <w:proofErr w:type="spellEnd"/>
      <w:r w:rsidRPr="00F44B12">
        <w:t xml:space="preserve"> Pro Kit</w:t>
      </w:r>
      <w:r>
        <w:t xml:space="preserve">, </w:t>
      </w:r>
      <w:r w:rsidRPr="00F44B12">
        <w:t>optimized for high particulate debris matrices over standard clear water isolation systems</w:t>
      </w:r>
      <w:r>
        <w:t xml:space="preserve"> </w:t>
      </w:r>
      <w:r w:rsidRPr="00F44B12">
        <w:t>and sequenced using long</w:t>
      </w:r>
      <w:r>
        <w:t xml:space="preserve"> </w:t>
      </w:r>
      <w:r w:rsidRPr="00F44B12">
        <w:t xml:space="preserve">read chemistry on the Oxford Nanopore Technologies </w:t>
      </w:r>
      <w:proofErr w:type="spellStart"/>
      <w:r w:rsidRPr="00F44B12">
        <w:t>PromethION</w:t>
      </w:r>
      <w:proofErr w:type="spellEnd"/>
      <w:r w:rsidRPr="00F44B12">
        <w:t xml:space="preserve"> platform. Downstream analysis focuses on detailing multi</w:t>
      </w:r>
      <w:r>
        <w:t xml:space="preserve"> </w:t>
      </w:r>
      <w:r w:rsidRPr="00F44B12">
        <w:t>kingdom structural profiles, inventorying functional gene ontology (GO) pathways, and evaluating pathogenic proliferation risks.</w:t>
      </w:r>
    </w:p>
    <w:p w14:paraId="6E3B1248" w14:textId="77777777" w:rsidR="00F44B12" w:rsidRPr="00F44B12" w:rsidRDefault="00F44B12" w:rsidP="00F44B12">
      <w:pPr>
        <w:rPr>
          <w:b/>
          <w:bCs/>
        </w:rPr>
      </w:pPr>
      <w:r w:rsidRPr="00F44B12">
        <w:rPr>
          <w:b/>
          <w:bCs/>
        </w:rPr>
        <w:t>Sequence Preprocessing &amp; Taxonomy Mapping</w:t>
      </w:r>
    </w:p>
    <w:p w14:paraId="6B394632" w14:textId="639F63F9" w:rsidR="00F44B12" w:rsidRPr="00F44B12" w:rsidRDefault="00F44B12" w:rsidP="00F44B12">
      <w:pPr>
        <w:numPr>
          <w:ilvl w:val="0"/>
          <w:numId w:val="2"/>
        </w:numPr>
      </w:pPr>
      <w:r w:rsidRPr="00F44B12">
        <w:rPr>
          <w:b/>
          <w:bCs/>
        </w:rPr>
        <w:t>Tool(s):</w:t>
      </w:r>
      <w:r w:rsidRPr="00F44B12">
        <w:t xml:space="preserve"> </w:t>
      </w:r>
      <w:proofErr w:type="spellStart"/>
      <w:r w:rsidRPr="00F44B12">
        <w:t>NanoStat</w:t>
      </w:r>
      <w:proofErr w:type="spellEnd"/>
      <w:r w:rsidRPr="00F44B12">
        <w:t xml:space="preserve"> for read metric reporting; </w:t>
      </w:r>
      <w:proofErr w:type="spellStart"/>
      <w:r w:rsidRPr="00F44B12">
        <w:t>Porechop</w:t>
      </w:r>
      <w:proofErr w:type="spellEnd"/>
      <w:r w:rsidRPr="00F44B12">
        <w:t xml:space="preserve"> tool for automated end</w:t>
      </w:r>
      <w:r>
        <w:t xml:space="preserve"> </w:t>
      </w:r>
      <w:r w:rsidRPr="00F44B12">
        <w:t xml:space="preserve">adapter excision and chimeric read splitting; DIAMOND </w:t>
      </w:r>
      <w:proofErr w:type="spellStart"/>
      <w:r w:rsidRPr="00F44B12">
        <w:t>BLASTx</w:t>
      </w:r>
      <w:proofErr w:type="spellEnd"/>
      <w:r w:rsidRPr="00F44B12">
        <w:t xml:space="preserve"> engine for </w:t>
      </w:r>
      <w:proofErr w:type="spellStart"/>
      <w:r w:rsidRPr="00F44B12">
        <w:t>ultra</w:t>
      </w:r>
      <w:r>
        <w:t xml:space="preserve"> </w:t>
      </w:r>
      <w:r w:rsidRPr="00F44B12">
        <w:t>fast</w:t>
      </w:r>
      <w:proofErr w:type="spellEnd"/>
      <w:r w:rsidRPr="00F44B12">
        <w:t xml:space="preserve"> homological alignment against </w:t>
      </w:r>
      <w:proofErr w:type="spellStart"/>
      <w:r w:rsidRPr="00F44B12">
        <w:t>non</w:t>
      </w:r>
      <w:r>
        <w:t xml:space="preserve"> </w:t>
      </w:r>
      <w:r w:rsidRPr="00F44B12">
        <w:t>redundant</w:t>
      </w:r>
      <w:proofErr w:type="spellEnd"/>
      <w:r w:rsidRPr="00F44B12">
        <w:t xml:space="preserve"> reference datasets; Metagenome Analyser for Long Reads (MEGAN-LR) with a Lowest Common Ancestor (LCA) mapping algorithm for interactive structural classification; Krona tool for visual hierarchy layouts.</w:t>
      </w:r>
    </w:p>
    <w:p w14:paraId="0F46D7B1" w14:textId="77777777" w:rsidR="00F44B12" w:rsidRPr="00F44B12" w:rsidRDefault="00F44B12" w:rsidP="00F44B12">
      <w:pPr>
        <w:numPr>
          <w:ilvl w:val="0"/>
          <w:numId w:val="2"/>
        </w:numPr>
      </w:pPr>
      <w:r w:rsidRPr="00F44B12">
        <w:rPr>
          <w:b/>
          <w:bCs/>
        </w:rPr>
        <w:t>Database(s):</w:t>
      </w:r>
      <w:r w:rsidRPr="00F44B12">
        <w:t xml:space="preserve"> NCBI non-redundant (nr) protein database; NCBI Taxonomy indexes.</w:t>
      </w:r>
    </w:p>
    <w:p w14:paraId="2BCD4797" w14:textId="198263D5" w:rsidR="00F44B12" w:rsidRPr="00F44B12" w:rsidRDefault="00F44B12" w:rsidP="00F44B12">
      <w:pPr>
        <w:numPr>
          <w:ilvl w:val="0"/>
          <w:numId w:val="2"/>
        </w:numPr>
      </w:pPr>
      <w:r w:rsidRPr="00F44B12">
        <w:rPr>
          <w:b/>
          <w:bCs/>
        </w:rPr>
        <w:t>Normalization:</w:t>
      </w:r>
      <w:r w:rsidRPr="00F44B12">
        <w:t xml:space="preserve"> Direct sequencing alignment outputs parsed with a default baseline restriction parameter threshold (E-value </w:t>
      </w:r>
      <w:r>
        <w:rPr>
          <w:rFonts w:cstheme="minorHAnsi"/>
        </w:rPr>
        <w:t>≤</w:t>
      </w:r>
      <w:r w:rsidRPr="00F44B12">
        <w:t>0.001) inside DIAMOND to maintain read assignment accuracy across long reads.</w:t>
      </w:r>
      <w:r>
        <w:t xml:space="preserve"> </w:t>
      </w:r>
    </w:p>
    <w:p w14:paraId="7D403EB9" w14:textId="77777777" w:rsidR="00F44B12" w:rsidRPr="00F44B12" w:rsidRDefault="00F44B12" w:rsidP="00F44B12">
      <w:pPr>
        <w:numPr>
          <w:ilvl w:val="0"/>
          <w:numId w:val="2"/>
        </w:numPr>
      </w:pPr>
      <w:r w:rsidRPr="00F44B12">
        <w:rPr>
          <w:b/>
          <w:bCs/>
        </w:rPr>
        <w:t>Goal of the analysis:</w:t>
      </w:r>
      <w:r w:rsidRPr="00F44B12">
        <w:t xml:space="preserve"> Decontaminate Nanopore long reads and reconstruct a holistic multi-kingdom taxonomic profile to quantify community structure shifts under severe agricultural nutrient pressures.</w:t>
      </w:r>
    </w:p>
    <w:p w14:paraId="24B33B5D" w14:textId="34DACD22" w:rsidR="00F44B12" w:rsidRPr="00F44B12" w:rsidRDefault="00F44B12" w:rsidP="00F44B12">
      <w:pPr>
        <w:numPr>
          <w:ilvl w:val="0"/>
          <w:numId w:val="2"/>
        </w:numPr>
      </w:pPr>
      <w:r w:rsidRPr="00F44B12">
        <w:rPr>
          <w:b/>
          <w:bCs/>
        </w:rPr>
        <w:t>Key metrics or statistical approaches:</w:t>
      </w:r>
      <w:r w:rsidRPr="00F44B12">
        <w:t xml:space="preserve"> Resolution of 2.19 million high</w:t>
      </w:r>
      <w:r>
        <w:t xml:space="preserve"> </w:t>
      </w:r>
      <w:r w:rsidRPr="00F44B12">
        <w:t xml:space="preserve">quality processed long reads within </w:t>
      </w:r>
      <w:proofErr w:type="gramStart"/>
      <w:r w:rsidRPr="00F44B12">
        <w:t>a</w:t>
      </w:r>
      <w:proofErr w:type="gramEnd"/>
      <w:r w:rsidRPr="00F44B12">
        <w:t xml:space="preserve"> 800–1200 bp range. Resolves a massive microbial architecture consisting of 36 phyla, 72 classes, 111 orders, 168 families, 275 genera, and 347 species. Absolute domain distribution confirms a heavy predominance of Bacteria (94.5%, 108,565 reads), trailed by </w:t>
      </w:r>
      <w:proofErr w:type="spellStart"/>
      <w:r w:rsidRPr="00F44B12">
        <w:t>Eukaryota</w:t>
      </w:r>
      <w:proofErr w:type="spellEnd"/>
      <w:r w:rsidRPr="00F44B12">
        <w:t xml:space="preserve"> (3.2%, 3,783 reads), Archaea (1.7%, 2,062 reads), and Viruses (0.3%, 355 reads).</w:t>
      </w:r>
    </w:p>
    <w:p w14:paraId="0AF937E1" w14:textId="77777777" w:rsidR="00F44B12" w:rsidRPr="00F44B12" w:rsidRDefault="00F44B12" w:rsidP="00F44B12">
      <w:pPr>
        <w:rPr>
          <w:b/>
          <w:bCs/>
        </w:rPr>
      </w:pPr>
      <w:r w:rsidRPr="00F44B12">
        <w:rPr>
          <w:b/>
          <w:bCs/>
        </w:rPr>
        <w:t>Ecosystem Biosystematics &amp; Diversity Indices</w:t>
      </w:r>
    </w:p>
    <w:p w14:paraId="15E16518" w14:textId="77777777" w:rsidR="00F44B12" w:rsidRPr="00F44B12" w:rsidRDefault="00F44B12" w:rsidP="00F44B12">
      <w:pPr>
        <w:numPr>
          <w:ilvl w:val="0"/>
          <w:numId w:val="3"/>
        </w:numPr>
      </w:pPr>
      <w:r w:rsidRPr="00F44B12">
        <w:rPr>
          <w:b/>
          <w:bCs/>
        </w:rPr>
        <w:lastRenderedPageBreak/>
        <w:t>Tool(s):</w:t>
      </w:r>
      <w:r w:rsidRPr="00F44B12">
        <w:t xml:space="preserve"> Vegan R package for ecological computing; MEGAN interactive visualization wrappers.</w:t>
      </w:r>
    </w:p>
    <w:p w14:paraId="02EFFF99" w14:textId="13F80E03" w:rsidR="00F44B12" w:rsidRPr="00F44B12" w:rsidRDefault="00F44B12" w:rsidP="00F44B12">
      <w:pPr>
        <w:numPr>
          <w:ilvl w:val="0"/>
          <w:numId w:val="3"/>
        </w:numPr>
      </w:pPr>
      <w:r w:rsidRPr="00F44B12">
        <w:rPr>
          <w:b/>
          <w:bCs/>
        </w:rPr>
        <w:t>Database(s):</w:t>
      </w:r>
      <w:r w:rsidRPr="00F44B12">
        <w:t xml:space="preserve"> Species</w:t>
      </w:r>
      <w:r>
        <w:t xml:space="preserve"> </w:t>
      </w:r>
      <w:r w:rsidRPr="00F44B12">
        <w:t>level abundance matrices derived from clean taxonomic binned data tables.</w:t>
      </w:r>
    </w:p>
    <w:p w14:paraId="4C2D34B2" w14:textId="77777777" w:rsidR="00F44B12" w:rsidRPr="00F44B12" w:rsidRDefault="00F44B12" w:rsidP="00F44B12">
      <w:pPr>
        <w:numPr>
          <w:ilvl w:val="0"/>
          <w:numId w:val="3"/>
        </w:numPr>
      </w:pPr>
      <w:r w:rsidRPr="00F44B12">
        <w:rPr>
          <w:b/>
          <w:bCs/>
        </w:rPr>
        <w:t>Normalization:</w:t>
      </w:r>
      <w:r w:rsidRPr="00F44B12">
        <w:t xml:space="preserve"> Sequence count totals converted to absolute read abundance tallies and length-normalized relative percentage fractions across distinct phyla and species ranks.</w:t>
      </w:r>
    </w:p>
    <w:p w14:paraId="7D4B7FA2" w14:textId="77777777" w:rsidR="00F44B12" w:rsidRPr="00F44B12" w:rsidRDefault="00F44B12" w:rsidP="00F44B12">
      <w:pPr>
        <w:numPr>
          <w:ilvl w:val="0"/>
          <w:numId w:val="3"/>
        </w:numPr>
      </w:pPr>
      <w:r w:rsidRPr="00F44B12">
        <w:rPr>
          <w:b/>
          <w:bCs/>
        </w:rPr>
        <w:t>Goal of the analysis:</w:t>
      </w:r>
      <w:r w:rsidRPr="00F44B12">
        <w:t xml:space="preserve"> Statistically measure community alpha diversity (richness, dominance, and evenness parameters) and detail the core specialized microbiome driving wastewater adaptation.</w:t>
      </w:r>
    </w:p>
    <w:p w14:paraId="546C5B11" w14:textId="2571FBC5" w:rsidR="00F44B12" w:rsidRPr="00F44B12" w:rsidRDefault="00F44B12" w:rsidP="00F44B12">
      <w:pPr>
        <w:numPr>
          <w:ilvl w:val="0"/>
          <w:numId w:val="3"/>
        </w:numPr>
      </w:pPr>
      <w:r w:rsidRPr="00F44B12">
        <w:rPr>
          <w:b/>
          <w:bCs/>
        </w:rPr>
        <w:t>Key metrics or statistical approaches:</w:t>
      </w:r>
      <w:r w:rsidRPr="00F44B12">
        <w:t xml:space="preserve"> Structural alpha diversity profiling yields a Shannon entropy index (H) of 4.89 alongside a high Simpson dominance index (D) of 0.98, proving an extensive taxonomic diversity concentrated around a few hyper</w:t>
      </w:r>
      <w:r>
        <w:t xml:space="preserve"> </w:t>
      </w:r>
      <w:r w:rsidRPr="00F44B12">
        <w:t>abundant species. Phylum</w:t>
      </w:r>
      <w:r>
        <w:t xml:space="preserve"> </w:t>
      </w:r>
      <w:r w:rsidRPr="00F44B12">
        <w:t xml:space="preserve">level sorting outlines the sheer dominance of </w:t>
      </w:r>
      <w:r w:rsidRPr="00F44B12">
        <w:rPr>
          <w:i/>
          <w:iCs/>
        </w:rPr>
        <w:t>Firmicutes</w:t>
      </w:r>
      <w:r w:rsidRPr="00F44B12">
        <w:t xml:space="preserve"> (51%), followed by </w:t>
      </w:r>
      <w:r w:rsidRPr="00F44B12">
        <w:rPr>
          <w:i/>
          <w:iCs/>
        </w:rPr>
        <w:t>Proteobacteria</w:t>
      </w:r>
      <w:r w:rsidRPr="00F44B12">
        <w:t xml:space="preserve"> (16%), </w:t>
      </w:r>
      <w:r w:rsidRPr="00F44B12">
        <w:rPr>
          <w:i/>
          <w:iCs/>
        </w:rPr>
        <w:t>Actinobacteria</w:t>
      </w:r>
      <w:r w:rsidRPr="00F44B12">
        <w:t xml:space="preserve"> (15%), and </w:t>
      </w:r>
      <w:r w:rsidRPr="00F44B12">
        <w:rPr>
          <w:i/>
          <w:iCs/>
        </w:rPr>
        <w:t>Bacteroidetes</w:t>
      </w:r>
      <w:r w:rsidRPr="00F44B12">
        <w:t xml:space="preserve"> (8%). At the species tier, the anaerobic, lactate-utilizing lineage </w:t>
      </w:r>
      <w:proofErr w:type="spellStart"/>
      <w:r w:rsidRPr="00F44B12">
        <w:rPr>
          <w:i/>
          <w:iCs/>
        </w:rPr>
        <w:t>Mitsuokella</w:t>
      </w:r>
      <w:proofErr w:type="spellEnd"/>
      <w:r w:rsidRPr="00F44B12">
        <w:rPr>
          <w:i/>
          <w:iCs/>
        </w:rPr>
        <w:t xml:space="preserve"> </w:t>
      </w:r>
      <w:proofErr w:type="spellStart"/>
      <w:r w:rsidRPr="00F44B12">
        <w:rPr>
          <w:i/>
          <w:iCs/>
        </w:rPr>
        <w:t>multacida</w:t>
      </w:r>
      <w:proofErr w:type="spellEnd"/>
      <w:r w:rsidRPr="00F44B12">
        <w:t xml:space="preserve"> dictates the biosystem, capturing around 50% of overall bacterial reads (9% total relative abundance). Archaeal tracking isolates methanogenic families (</w:t>
      </w:r>
      <w:proofErr w:type="spellStart"/>
      <w:r w:rsidRPr="00F44B12">
        <w:rPr>
          <w:i/>
          <w:iCs/>
        </w:rPr>
        <w:t>Methanosarcinaceae</w:t>
      </w:r>
      <w:proofErr w:type="spellEnd"/>
      <w:r w:rsidRPr="00F44B12">
        <w:t xml:space="preserve">, </w:t>
      </w:r>
      <w:proofErr w:type="spellStart"/>
      <w:r w:rsidRPr="00F44B12">
        <w:rPr>
          <w:i/>
          <w:iCs/>
        </w:rPr>
        <w:t>Methanosaetaceae</w:t>
      </w:r>
      <w:proofErr w:type="spellEnd"/>
      <w:r w:rsidRPr="00F44B12">
        <w:t>), while eukaryotic profiling identifies microalgae (</w:t>
      </w:r>
      <w:r w:rsidRPr="00F44B12">
        <w:rPr>
          <w:i/>
          <w:iCs/>
        </w:rPr>
        <w:t xml:space="preserve">Chlorella </w:t>
      </w:r>
      <w:proofErr w:type="spellStart"/>
      <w:r w:rsidRPr="00F44B12">
        <w:rPr>
          <w:i/>
          <w:iCs/>
        </w:rPr>
        <w:t>sorokiniana</w:t>
      </w:r>
      <w:proofErr w:type="spellEnd"/>
      <w:r w:rsidRPr="00F44B12">
        <w:t>) and specialized fungi.</w:t>
      </w:r>
    </w:p>
    <w:p w14:paraId="5BEE86B2" w14:textId="77777777" w:rsidR="00F44B12" w:rsidRPr="00F44B12" w:rsidRDefault="00F44B12" w:rsidP="00F44B12">
      <w:pPr>
        <w:rPr>
          <w:b/>
          <w:bCs/>
        </w:rPr>
      </w:pPr>
      <w:r w:rsidRPr="00F44B12">
        <w:rPr>
          <w:b/>
          <w:bCs/>
        </w:rPr>
        <w:t>Functional Gene Ontology &amp; SEED Pathway Mapping</w:t>
      </w:r>
    </w:p>
    <w:p w14:paraId="68B24D9A" w14:textId="77777777" w:rsidR="00F44B12" w:rsidRPr="00F44B12" w:rsidRDefault="00F44B12" w:rsidP="00F44B12">
      <w:pPr>
        <w:numPr>
          <w:ilvl w:val="0"/>
          <w:numId w:val="4"/>
        </w:numPr>
      </w:pPr>
      <w:r w:rsidRPr="00F44B12">
        <w:rPr>
          <w:b/>
          <w:bCs/>
        </w:rPr>
        <w:t>Tool(s):</w:t>
      </w:r>
      <w:r w:rsidRPr="00F44B12">
        <w:t xml:space="preserve"> MEGAN-LR annotation engines mapping open reading frames (ORFs) to operational hierarchies; </w:t>
      </w:r>
      <w:proofErr w:type="spellStart"/>
      <w:r w:rsidRPr="00F44B12">
        <w:t>eggNOG</w:t>
      </w:r>
      <w:proofErr w:type="spellEnd"/>
      <w:r w:rsidRPr="00F44B12">
        <w:t xml:space="preserve">-mapper pipeline for </w:t>
      </w:r>
      <w:proofErr w:type="spellStart"/>
      <w:r w:rsidRPr="00F44B12">
        <w:t>orthology</w:t>
      </w:r>
      <w:proofErr w:type="spellEnd"/>
      <w:r w:rsidRPr="00F44B12">
        <w:t xml:space="preserve"> grouping.</w:t>
      </w:r>
    </w:p>
    <w:p w14:paraId="1B57FF37" w14:textId="77777777" w:rsidR="00F44B12" w:rsidRPr="00F44B12" w:rsidRDefault="00F44B12" w:rsidP="00F44B12">
      <w:pPr>
        <w:numPr>
          <w:ilvl w:val="0"/>
          <w:numId w:val="4"/>
        </w:numPr>
      </w:pPr>
      <w:r w:rsidRPr="00F44B12">
        <w:rPr>
          <w:b/>
          <w:bCs/>
        </w:rPr>
        <w:t>Database(s):</w:t>
      </w:r>
      <w:r w:rsidRPr="00F44B12">
        <w:t xml:space="preserve"> Gene Ontology (GO) terms database; </w:t>
      </w:r>
      <w:proofErr w:type="spellStart"/>
      <w:r w:rsidRPr="00F44B12">
        <w:t>eggNOG</w:t>
      </w:r>
      <w:proofErr w:type="spellEnd"/>
      <w:r w:rsidRPr="00F44B12">
        <w:t xml:space="preserve"> database; Clusters of Orthologous Groups (COGs) of proteins; SEED Subsystems database.</w:t>
      </w:r>
    </w:p>
    <w:p w14:paraId="19E69489" w14:textId="77777777" w:rsidR="00F44B12" w:rsidRPr="00F44B12" w:rsidRDefault="00F44B12" w:rsidP="00F44B12">
      <w:pPr>
        <w:numPr>
          <w:ilvl w:val="0"/>
          <w:numId w:val="4"/>
        </w:numPr>
      </w:pPr>
      <w:r w:rsidRPr="00F44B12">
        <w:rPr>
          <w:b/>
          <w:bCs/>
        </w:rPr>
        <w:t>Normalization:</w:t>
      </w:r>
      <w:r w:rsidRPr="00F44B12">
        <w:t xml:space="preserve"> Functional annotation hits length-normalized and expressed as direct </w:t>
      </w:r>
      <w:proofErr w:type="spellStart"/>
      <w:r w:rsidRPr="00F44B12">
        <w:t>unigene</w:t>
      </w:r>
      <w:proofErr w:type="spellEnd"/>
      <w:r w:rsidRPr="00F44B12">
        <w:t xml:space="preserve"> abundance counts or percentage fractions across standard Level-1, -2, and -3 classifications.</w:t>
      </w:r>
    </w:p>
    <w:p w14:paraId="3DDCFE0C" w14:textId="77777777" w:rsidR="00F44B12" w:rsidRPr="00F44B12" w:rsidRDefault="00F44B12" w:rsidP="00F44B12">
      <w:pPr>
        <w:numPr>
          <w:ilvl w:val="0"/>
          <w:numId w:val="4"/>
        </w:numPr>
      </w:pPr>
      <w:r w:rsidRPr="00F44B12">
        <w:rPr>
          <w:b/>
          <w:bCs/>
        </w:rPr>
        <w:t>Goal of the analysis:</w:t>
      </w:r>
      <w:r w:rsidRPr="00F44B12">
        <w:t xml:space="preserve"> Reconstruct the general biological, cellular, and functional metabolic baseline supporting the wastewater community, highlighting specific resource mobilization loops.</w:t>
      </w:r>
    </w:p>
    <w:p w14:paraId="620AE7A0" w14:textId="7DFDA206" w:rsidR="00F44B12" w:rsidRPr="00F44B12" w:rsidRDefault="00F44B12" w:rsidP="00F44B12">
      <w:pPr>
        <w:numPr>
          <w:ilvl w:val="0"/>
          <w:numId w:val="4"/>
        </w:numPr>
      </w:pPr>
      <w:r w:rsidRPr="00F44B12">
        <w:rPr>
          <w:b/>
          <w:bCs/>
        </w:rPr>
        <w:t>Key metrics or statistical approaches:</w:t>
      </w:r>
      <w:r w:rsidRPr="00F44B12">
        <w:t xml:space="preserve"> * </w:t>
      </w:r>
      <w:r w:rsidRPr="00F44B12">
        <w:rPr>
          <w:i/>
          <w:iCs/>
        </w:rPr>
        <w:t>GO Annotation:</w:t>
      </w:r>
      <w:r w:rsidRPr="00F44B12">
        <w:t xml:space="preserve"> Recovers 78,043 total functional hits distributed across biological processes (32,128), molecular functions (31,955), and cellular components (13,360). Level-2 sorting captures an inflation of biosynthetic processes (9%), transferase actions (8%), and transport pathways (8%), while Level-3 maps heavy investments in ion transport (14%) and ATPase activities (9%).</w:t>
      </w:r>
    </w:p>
    <w:p w14:paraId="5764DA16" w14:textId="77777777" w:rsidR="00F44B12" w:rsidRPr="00F44B12" w:rsidRDefault="00F44B12" w:rsidP="00F44B12">
      <w:pPr>
        <w:numPr>
          <w:ilvl w:val="1"/>
          <w:numId w:val="4"/>
        </w:numPr>
      </w:pPr>
      <w:r w:rsidRPr="00F44B12">
        <w:rPr>
          <w:i/>
          <w:iCs/>
        </w:rPr>
        <w:t>COG &amp; SEED Analytics:</w:t>
      </w:r>
      <w:r w:rsidRPr="00F44B12">
        <w:t xml:space="preserve"> COG profiling maps an expansion of </w:t>
      </w:r>
      <w:proofErr w:type="spellStart"/>
      <w:r w:rsidRPr="00F44B12">
        <w:t>unigenes</w:t>
      </w:r>
      <w:proofErr w:type="spellEnd"/>
      <w:r w:rsidRPr="00F44B12">
        <w:t xml:space="preserve"> steering replication, recombination, and repair [L], amino acid transport [E], and carbohydrate metabolism [G]. SEED subsystem tree parsing reveals high baseline values for cellular respiration, protein processing, and membrane transport subsystems.</w:t>
      </w:r>
    </w:p>
    <w:p w14:paraId="34929C56" w14:textId="77777777" w:rsidR="00F44B12" w:rsidRDefault="00F44B12" w:rsidP="00F44B12">
      <w:pPr>
        <w:rPr>
          <w:b/>
          <w:bCs/>
        </w:rPr>
      </w:pPr>
    </w:p>
    <w:p w14:paraId="530F6C96" w14:textId="27CB1287" w:rsidR="00F44B12" w:rsidRPr="00F44B12" w:rsidRDefault="00F44B12" w:rsidP="00F44B12">
      <w:pPr>
        <w:rPr>
          <w:b/>
          <w:bCs/>
        </w:rPr>
      </w:pPr>
      <w:proofErr w:type="spellStart"/>
      <w:r w:rsidRPr="00F44B12">
        <w:rPr>
          <w:b/>
          <w:bCs/>
        </w:rPr>
        <w:t>Resistome</w:t>
      </w:r>
      <w:proofErr w:type="spellEnd"/>
      <w:r w:rsidRPr="00F44B12">
        <w:rPr>
          <w:b/>
          <w:bCs/>
        </w:rPr>
        <w:t xml:space="preserve"> Inventory &amp; Virulence Factor </w:t>
      </w:r>
      <w:proofErr w:type="spellStart"/>
      <w:r w:rsidRPr="00F44B12">
        <w:rPr>
          <w:b/>
          <w:bCs/>
        </w:rPr>
        <w:t>Modeling</w:t>
      </w:r>
      <w:proofErr w:type="spellEnd"/>
    </w:p>
    <w:p w14:paraId="11C5943B" w14:textId="76D06BC9" w:rsidR="00F44B12" w:rsidRPr="00F44B12" w:rsidRDefault="00F44B12" w:rsidP="00F44B12">
      <w:pPr>
        <w:numPr>
          <w:ilvl w:val="0"/>
          <w:numId w:val="5"/>
        </w:numPr>
      </w:pPr>
      <w:r w:rsidRPr="00F44B12">
        <w:rPr>
          <w:b/>
          <w:bCs/>
        </w:rPr>
        <w:lastRenderedPageBreak/>
        <w:t>Tool(s):</w:t>
      </w:r>
      <w:r w:rsidRPr="00F44B12">
        <w:t xml:space="preserve"> Alignment</w:t>
      </w:r>
      <w:r>
        <w:t xml:space="preserve"> </w:t>
      </w:r>
      <w:r w:rsidRPr="00F44B12">
        <w:t>based sequence homology mapping workflows using indexed nucleotide queries; data reporting scripts grouping drug classes and mechanism families.</w:t>
      </w:r>
    </w:p>
    <w:p w14:paraId="63D457D3" w14:textId="77777777" w:rsidR="00F44B12" w:rsidRPr="00F44B12" w:rsidRDefault="00F44B12" w:rsidP="00F44B12">
      <w:pPr>
        <w:numPr>
          <w:ilvl w:val="0"/>
          <w:numId w:val="5"/>
        </w:numPr>
      </w:pPr>
      <w:r w:rsidRPr="00F44B12">
        <w:rPr>
          <w:b/>
          <w:bCs/>
        </w:rPr>
        <w:t>Database(s):</w:t>
      </w:r>
      <w:r w:rsidRPr="00F44B12">
        <w:t xml:space="preserve"> Comprehensive Antibiotic Resistance Database (CARD); Virulence Factor Database (VFDB).</w:t>
      </w:r>
    </w:p>
    <w:p w14:paraId="643A22ED" w14:textId="75CBD584" w:rsidR="00F44B12" w:rsidRPr="00F44B12" w:rsidRDefault="00F44B12" w:rsidP="00F44B12">
      <w:pPr>
        <w:numPr>
          <w:ilvl w:val="0"/>
          <w:numId w:val="5"/>
        </w:numPr>
      </w:pPr>
      <w:r w:rsidRPr="00F44B12">
        <w:rPr>
          <w:b/>
          <w:bCs/>
        </w:rPr>
        <w:t>Normalization:</w:t>
      </w:r>
      <w:r w:rsidRPr="00F44B12">
        <w:t xml:space="preserve"> Potential matches restricted to strict identity thresholds requiring a minimum parameter of </w:t>
      </w:r>
      <w:r>
        <w:t>&gt;</w:t>
      </w:r>
      <w:r w:rsidRPr="00F44B12">
        <w:t>50% sequence homology identity matching against CARD or VFDB reference targets.</w:t>
      </w:r>
    </w:p>
    <w:p w14:paraId="255ABFCE" w14:textId="77777777" w:rsidR="00F44B12" w:rsidRPr="00F44B12" w:rsidRDefault="00F44B12" w:rsidP="00F44B12">
      <w:pPr>
        <w:numPr>
          <w:ilvl w:val="0"/>
          <w:numId w:val="5"/>
        </w:numPr>
      </w:pPr>
      <w:r w:rsidRPr="00F44B12">
        <w:rPr>
          <w:b/>
          <w:bCs/>
        </w:rPr>
        <w:t>Goal of the analysis:</w:t>
      </w:r>
      <w:r w:rsidRPr="00F44B12">
        <w:t xml:space="preserve"> Document the mobilized and chromosomal </w:t>
      </w:r>
      <w:proofErr w:type="spellStart"/>
      <w:r w:rsidRPr="00F44B12">
        <w:t>resistome</w:t>
      </w:r>
      <w:proofErr w:type="spellEnd"/>
      <w:r w:rsidRPr="00F44B12">
        <w:t xml:space="preserve"> alongside a pathogenic virulence profile to characterize public health and environmental dissemination risks.</w:t>
      </w:r>
    </w:p>
    <w:p w14:paraId="257D1648" w14:textId="3B969221" w:rsidR="00F44B12" w:rsidRPr="00F44B12" w:rsidRDefault="00F44B12" w:rsidP="00F44B12">
      <w:pPr>
        <w:numPr>
          <w:ilvl w:val="0"/>
          <w:numId w:val="5"/>
        </w:numPr>
      </w:pPr>
      <w:r w:rsidRPr="00F44B12">
        <w:rPr>
          <w:b/>
          <w:bCs/>
        </w:rPr>
        <w:t>Key metrics or statistical approaches:</w:t>
      </w:r>
      <w:r w:rsidRPr="00F44B12">
        <w:t xml:space="preserve"> * </w:t>
      </w:r>
      <w:proofErr w:type="spellStart"/>
      <w:r w:rsidRPr="00F44B12">
        <w:rPr>
          <w:i/>
          <w:iCs/>
        </w:rPr>
        <w:t>Resistome</w:t>
      </w:r>
      <w:proofErr w:type="spellEnd"/>
      <w:r w:rsidRPr="00F44B12">
        <w:rPr>
          <w:i/>
          <w:iCs/>
        </w:rPr>
        <w:t xml:space="preserve"> Curation:</w:t>
      </w:r>
      <w:r w:rsidRPr="00F44B12">
        <w:t xml:space="preserve"> Captures 155 distinct antibiotic resistance gene families. Beta-lactamase genes comprise the core mechanism, heavily concentrated inside the phyla </w:t>
      </w:r>
      <w:r w:rsidRPr="00F44B12">
        <w:rPr>
          <w:i/>
          <w:iCs/>
        </w:rPr>
        <w:t>Firmicutes</w:t>
      </w:r>
      <w:r w:rsidRPr="00F44B12">
        <w:t xml:space="preserve"> (36%), </w:t>
      </w:r>
      <w:r w:rsidRPr="00F44B12">
        <w:rPr>
          <w:i/>
          <w:iCs/>
        </w:rPr>
        <w:t>Proteobacteria</w:t>
      </w:r>
      <w:r w:rsidRPr="00F44B12">
        <w:t xml:space="preserve"> (31%), and </w:t>
      </w:r>
      <w:r w:rsidRPr="00F44B12">
        <w:rPr>
          <w:i/>
          <w:iCs/>
        </w:rPr>
        <w:t>Actinobacteria</w:t>
      </w:r>
      <w:r w:rsidRPr="00F44B12">
        <w:t xml:space="preserve"> (21%). Specific risk tracks isolate efflux pump complexes—Resistance</w:t>
      </w:r>
      <w:r>
        <w:t xml:space="preserve"> </w:t>
      </w:r>
      <w:r w:rsidRPr="00F44B12">
        <w:t>Modulation</w:t>
      </w:r>
      <w:r>
        <w:t xml:space="preserve"> </w:t>
      </w:r>
      <w:r w:rsidRPr="00F44B12">
        <w:t>Cell Division (RND), Major Facilitator Superfamily (MFS), and ABC transporters</w:t>
      </w:r>
      <w:r>
        <w:t xml:space="preserve"> </w:t>
      </w:r>
      <w:r w:rsidRPr="00F44B12">
        <w:t xml:space="preserve">linked to multi-drug resistance across pathogens including </w:t>
      </w:r>
      <w:r w:rsidRPr="00F44B12">
        <w:rPr>
          <w:i/>
          <w:iCs/>
        </w:rPr>
        <w:t>Escherichia coli</w:t>
      </w:r>
      <w:r w:rsidRPr="00F44B12">
        <w:t xml:space="preserve">, </w:t>
      </w:r>
      <w:r w:rsidRPr="00F44B12">
        <w:rPr>
          <w:i/>
          <w:iCs/>
        </w:rPr>
        <w:t>Klebsiella pneumoniae</w:t>
      </w:r>
      <w:r w:rsidRPr="00F44B12">
        <w:t xml:space="preserve">, </w:t>
      </w:r>
      <w:r w:rsidRPr="00F44B12">
        <w:rPr>
          <w:i/>
          <w:iCs/>
        </w:rPr>
        <w:t>Staphylococcus aureus</w:t>
      </w:r>
      <w:r w:rsidRPr="00F44B12">
        <w:t xml:space="preserve">, and </w:t>
      </w:r>
      <w:r w:rsidRPr="00F44B12">
        <w:rPr>
          <w:i/>
          <w:iCs/>
        </w:rPr>
        <w:t>Pseudomonas aeruginosa</w:t>
      </w:r>
      <w:r w:rsidRPr="00F44B12">
        <w:t xml:space="preserve">. Tracks critical mobile markers, including colistin-resistant </w:t>
      </w:r>
      <w:proofErr w:type="spellStart"/>
      <w:r w:rsidRPr="00F44B12">
        <w:rPr>
          <w:i/>
          <w:iCs/>
        </w:rPr>
        <w:t>mcr</w:t>
      </w:r>
      <w:proofErr w:type="spellEnd"/>
      <w:r w:rsidRPr="00F44B12">
        <w:t xml:space="preserve"> </w:t>
      </w:r>
      <w:proofErr w:type="spellStart"/>
      <w:r w:rsidRPr="00F44B12">
        <w:t>phosphoethanolamine</w:t>
      </w:r>
      <w:proofErr w:type="spellEnd"/>
      <w:r w:rsidRPr="00F44B12">
        <w:t xml:space="preserve"> transferases and plasmid-mediated components.</w:t>
      </w:r>
    </w:p>
    <w:p w14:paraId="4ACC96D5" w14:textId="77777777" w:rsidR="00F44B12" w:rsidRPr="00F44B12" w:rsidRDefault="00F44B12" w:rsidP="00F44B12">
      <w:pPr>
        <w:numPr>
          <w:ilvl w:val="1"/>
          <w:numId w:val="5"/>
        </w:numPr>
      </w:pPr>
      <w:r w:rsidRPr="00F44B12">
        <w:rPr>
          <w:i/>
          <w:iCs/>
        </w:rPr>
        <w:t>Virulence Factor Profiling:</w:t>
      </w:r>
      <w:r w:rsidRPr="00F44B12">
        <w:t xml:space="preserve"> Mines 2,795 total virulence genes partitioned across 11 harmful categories. Immune modulation genes dominate the landscape (762 genes, including capsule and LPS markers like </w:t>
      </w:r>
      <w:proofErr w:type="spellStart"/>
      <w:r w:rsidRPr="00F44B12">
        <w:rPr>
          <w:i/>
          <w:iCs/>
        </w:rPr>
        <w:t>msbA</w:t>
      </w:r>
      <w:proofErr w:type="spellEnd"/>
      <w:r w:rsidRPr="00F44B12">
        <w:t xml:space="preserve"> and </w:t>
      </w:r>
      <w:proofErr w:type="spellStart"/>
      <w:r w:rsidRPr="00F44B12">
        <w:rPr>
          <w:i/>
          <w:iCs/>
        </w:rPr>
        <w:t>galE</w:t>
      </w:r>
      <w:proofErr w:type="spellEnd"/>
      <w:r w:rsidRPr="00F44B12">
        <w:t xml:space="preserve">), followed by nutritional/metabolic factors (490 genes, e.g., </w:t>
      </w:r>
      <w:proofErr w:type="spellStart"/>
      <w:r w:rsidRPr="00F44B12">
        <w:rPr>
          <w:i/>
          <w:iCs/>
        </w:rPr>
        <w:t>mbtI</w:t>
      </w:r>
      <w:proofErr w:type="spellEnd"/>
      <w:r w:rsidRPr="00F44B12">
        <w:t xml:space="preserve"> mycobactin systems), effector delivery secretors (366 genes driving type III/IV/VI </w:t>
      </w:r>
      <w:proofErr w:type="spellStart"/>
      <w:r w:rsidRPr="00F44B12">
        <w:t>injectisomes</w:t>
      </w:r>
      <w:proofErr w:type="spellEnd"/>
      <w:r w:rsidRPr="00F44B12">
        <w:t xml:space="preserve">), motility machinery (329 genes directing flagellar </w:t>
      </w:r>
      <w:proofErr w:type="spellStart"/>
      <w:r w:rsidRPr="00F44B12">
        <w:rPr>
          <w:i/>
          <w:iCs/>
        </w:rPr>
        <w:t>fliC</w:t>
      </w:r>
      <w:proofErr w:type="spellEnd"/>
      <w:r w:rsidRPr="00F44B12">
        <w:t>/</w:t>
      </w:r>
      <w:proofErr w:type="spellStart"/>
      <w:r w:rsidRPr="00F44B12">
        <w:rPr>
          <w:i/>
          <w:iCs/>
        </w:rPr>
        <w:t>flgR</w:t>
      </w:r>
      <w:proofErr w:type="spellEnd"/>
      <w:r w:rsidRPr="00F44B12">
        <w:t xml:space="preserve"> complexes), adherence factors (314 genes), and biofilm-forming units (103 genes, e.g., </w:t>
      </w:r>
      <w:proofErr w:type="spellStart"/>
      <w:r w:rsidRPr="00F44B12">
        <w:rPr>
          <w:i/>
          <w:iCs/>
        </w:rPr>
        <w:t>pgaC</w:t>
      </w:r>
      <w:proofErr w:type="spellEnd"/>
      <w:r w:rsidRPr="00F44B12">
        <w:t xml:space="preserve"> and </w:t>
      </w:r>
      <w:proofErr w:type="spellStart"/>
      <w:r w:rsidRPr="00F44B12">
        <w:rPr>
          <w:i/>
          <w:iCs/>
        </w:rPr>
        <w:t>mucD</w:t>
      </w:r>
      <w:proofErr w:type="spellEnd"/>
      <w:r w:rsidRPr="00F44B12">
        <w:t xml:space="preserve"> operons).</w:t>
      </w:r>
    </w:p>
    <w:p w14:paraId="6717F47B" w14:textId="77777777" w:rsidR="000C3267" w:rsidRPr="00F44B12" w:rsidRDefault="000C3267" w:rsidP="00F44B12"/>
    <w:sectPr w:rsidR="000C3267" w:rsidRPr="00F44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7B22"/>
    <w:multiLevelType w:val="multilevel"/>
    <w:tmpl w:val="24FC3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D582A"/>
    <w:multiLevelType w:val="multilevel"/>
    <w:tmpl w:val="3B9C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65621"/>
    <w:multiLevelType w:val="multilevel"/>
    <w:tmpl w:val="E162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65B8F"/>
    <w:multiLevelType w:val="multilevel"/>
    <w:tmpl w:val="69CE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B3819"/>
    <w:multiLevelType w:val="multilevel"/>
    <w:tmpl w:val="C53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484562">
    <w:abstractNumId w:val="1"/>
  </w:num>
  <w:num w:numId="2" w16cid:durableId="1233928822">
    <w:abstractNumId w:val="2"/>
  </w:num>
  <w:num w:numId="3" w16cid:durableId="85424341">
    <w:abstractNumId w:val="4"/>
  </w:num>
  <w:num w:numId="4" w16cid:durableId="374280663">
    <w:abstractNumId w:val="3"/>
  </w:num>
  <w:num w:numId="5" w16cid:durableId="152425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B12"/>
    <w:rsid w:val="000C3267"/>
    <w:rsid w:val="00227B78"/>
    <w:rsid w:val="007A7287"/>
    <w:rsid w:val="00850FB5"/>
    <w:rsid w:val="00B15AD3"/>
    <w:rsid w:val="00F44B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056C"/>
  <w15:chartTrackingRefBased/>
  <w15:docId w15:val="{C590F901-3ED2-4B29-9784-3DB46ABE0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B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B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B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B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B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B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B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B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B12"/>
    <w:rPr>
      <w:rFonts w:eastAsiaTheme="majorEastAsia" w:cstheme="majorBidi"/>
      <w:color w:val="272727" w:themeColor="text1" w:themeTint="D8"/>
    </w:rPr>
  </w:style>
  <w:style w:type="paragraph" w:styleId="Title">
    <w:name w:val="Title"/>
    <w:basedOn w:val="Normal"/>
    <w:next w:val="Normal"/>
    <w:link w:val="TitleChar"/>
    <w:uiPriority w:val="10"/>
    <w:qFormat/>
    <w:rsid w:val="00F44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B12"/>
    <w:pPr>
      <w:spacing w:before="160"/>
      <w:jc w:val="center"/>
    </w:pPr>
    <w:rPr>
      <w:i/>
      <w:iCs/>
      <w:color w:val="404040" w:themeColor="text1" w:themeTint="BF"/>
    </w:rPr>
  </w:style>
  <w:style w:type="character" w:customStyle="1" w:styleId="QuoteChar">
    <w:name w:val="Quote Char"/>
    <w:basedOn w:val="DefaultParagraphFont"/>
    <w:link w:val="Quote"/>
    <w:uiPriority w:val="29"/>
    <w:rsid w:val="00F44B12"/>
    <w:rPr>
      <w:i/>
      <w:iCs/>
      <w:color w:val="404040" w:themeColor="text1" w:themeTint="BF"/>
    </w:rPr>
  </w:style>
  <w:style w:type="paragraph" w:styleId="ListParagraph">
    <w:name w:val="List Paragraph"/>
    <w:basedOn w:val="Normal"/>
    <w:uiPriority w:val="34"/>
    <w:qFormat/>
    <w:rsid w:val="00F44B12"/>
    <w:pPr>
      <w:ind w:left="720"/>
      <w:contextualSpacing/>
    </w:pPr>
  </w:style>
  <w:style w:type="character" w:styleId="IntenseEmphasis">
    <w:name w:val="Intense Emphasis"/>
    <w:basedOn w:val="DefaultParagraphFont"/>
    <w:uiPriority w:val="21"/>
    <w:qFormat/>
    <w:rsid w:val="00F44B12"/>
    <w:rPr>
      <w:i/>
      <w:iCs/>
      <w:color w:val="2F5496" w:themeColor="accent1" w:themeShade="BF"/>
    </w:rPr>
  </w:style>
  <w:style w:type="paragraph" w:styleId="IntenseQuote">
    <w:name w:val="Intense Quote"/>
    <w:basedOn w:val="Normal"/>
    <w:next w:val="Normal"/>
    <w:link w:val="IntenseQuoteChar"/>
    <w:uiPriority w:val="30"/>
    <w:qFormat/>
    <w:rsid w:val="00F44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B12"/>
    <w:rPr>
      <w:i/>
      <w:iCs/>
      <w:color w:val="2F5496" w:themeColor="accent1" w:themeShade="BF"/>
    </w:rPr>
  </w:style>
  <w:style w:type="character" w:styleId="IntenseReference">
    <w:name w:val="Intense Reference"/>
    <w:basedOn w:val="DefaultParagraphFont"/>
    <w:uiPriority w:val="32"/>
    <w:qFormat/>
    <w:rsid w:val="00F44B12"/>
    <w:rPr>
      <w:b/>
      <w:bCs/>
      <w:smallCaps/>
      <w:color w:val="2F5496" w:themeColor="accent1" w:themeShade="BF"/>
      <w:spacing w:val="5"/>
    </w:rPr>
  </w:style>
  <w:style w:type="character" w:styleId="Hyperlink">
    <w:name w:val="Hyperlink"/>
    <w:basedOn w:val="DefaultParagraphFont"/>
    <w:uiPriority w:val="99"/>
    <w:unhideWhenUsed/>
    <w:rsid w:val="00F44B12"/>
    <w:rPr>
      <w:color w:val="0563C1" w:themeColor="hyperlink"/>
      <w:u w:val="single"/>
    </w:rPr>
  </w:style>
  <w:style w:type="character" w:styleId="UnresolvedMention">
    <w:name w:val="Unresolved Mention"/>
    <w:basedOn w:val="DefaultParagraphFont"/>
    <w:uiPriority w:val="99"/>
    <w:semiHidden/>
    <w:unhideWhenUsed/>
    <w:rsid w:val="00F44B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38/s41598-025-16864-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1160</Words>
  <Characters>6615</Characters>
  <Application>Microsoft Office Word</Application>
  <DocSecurity>0</DocSecurity>
  <Lines>55</Lines>
  <Paragraphs>15</Paragraphs>
  <ScaleCrop>false</ScaleCrop>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2026-06-25T18:15:00Z</dcterms:created>
  <dcterms:modified xsi:type="dcterms:W3CDTF">2026-06-25T18:21:00Z</dcterms:modified>
</cp:coreProperties>
</file>