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09A268" w14:textId="77777777" w:rsidR="00862DAC" w:rsidRPr="00862DAC" w:rsidRDefault="00862DAC" w:rsidP="00862DAC">
      <w:pPr>
        <w:rPr>
          <w:b/>
          <w:bCs/>
          <w:sz w:val="36"/>
          <w:szCs w:val="36"/>
        </w:rPr>
      </w:pPr>
      <w:r w:rsidRPr="00862DAC">
        <w:rPr>
          <w:b/>
          <w:bCs/>
          <w:sz w:val="36"/>
          <w:szCs w:val="36"/>
        </w:rPr>
        <w:t>Analysis Plan - SRP594197</w:t>
      </w:r>
    </w:p>
    <w:p w14:paraId="0FA86AE4" w14:textId="77777777" w:rsidR="00862DAC" w:rsidRPr="00862DAC" w:rsidRDefault="00862DAC" w:rsidP="00862DAC">
      <w:r w:rsidRPr="00862DAC">
        <w:rPr>
          <w:b/>
          <w:bCs/>
        </w:rPr>
        <w:t>Study Accession:</w:t>
      </w:r>
      <w:r w:rsidRPr="00862DAC">
        <w:t xml:space="preserve"> SRP594197 (SRA </w:t>
      </w:r>
      <w:proofErr w:type="spellStart"/>
      <w:r w:rsidRPr="00862DAC">
        <w:t>BioProject</w:t>
      </w:r>
      <w:proofErr w:type="spellEnd"/>
      <w:r w:rsidRPr="00862DAC">
        <w:t xml:space="preserve"> PRJNA1218868)</w:t>
      </w:r>
    </w:p>
    <w:p w14:paraId="4B197103" w14:textId="1A95E405" w:rsidR="00862DAC" w:rsidRPr="00862DAC" w:rsidRDefault="00862DAC" w:rsidP="00862DAC">
      <w:r w:rsidRPr="00862DAC">
        <w:rPr>
          <w:b/>
          <w:bCs/>
        </w:rPr>
        <w:t>Study Type:</w:t>
      </w:r>
      <w:r w:rsidRPr="00862DAC">
        <w:t xml:space="preserve"> Fresh water environmental genomics, high</w:t>
      </w:r>
      <w:r>
        <w:t xml:space="preserve"> </w:t>
      </w:r>
      <w:r w:rsidRPr="00862DAC">
        <w:t>altitude wetland limnology, and multi</w:t>
      </w:r>
      <w:r>
        <w:t xml:space="preserve"> </w:t>
      </w:r>
      <w:r w:rsidRPr="00862DAC">
        <w:t>omics elemental/xenobiotic profiling</w:t>
      </w:r>
    </w:p>
    <w:p w14:paraId="2A11652B" w14:textId="77777777" w:rsidR="00862DAC" w:rsidRPr="00862DAC" w:rsidRDefault="00862DAC" w:rsidP="00862DAC">
      <w:r w:rsidRPr="00862DAC">
        <w:rPr>
          <w:b/>
          <w:bCs/>
        </w:rPr>
        <w:t>Sample Type:</w:t>
      </w:r>
      <w:r w:rsidRPr="00862DAC">
        <w:t xml:space="preserve"> Sacred freshwater surface water specimens and sediment-associated microbial matrices</w:t>
      </w:r>
    </w:p>
    <w:p w14:paraId="7862FDBB" w14:textId="77777777" w:rsidR="00862DAC" w:rsidRPr="00862DAC" w:rsidRDefault="00862DAC" w:rsidP="00862DAC">
      <w:r w:rsidRPr="00862DAC">
        <w:rPr>
          <w:b/>
          <w:bCs/>
        </w:rPr>
        <w:t>Associated Publications / DOIs:</w:t>
      </w:r>
    </w:p>
    <w:p w14:paraId="08ACEA58" w14:textId="77777777" w:rsidR="00862DAC" w:rsidRPr="00862DAC" w:rsidRDefault="00862DAC" w:rsidP="00862DAC">
      <w:pPr>
        <w:numPr>
          <w:ilvl w:val="0"/>
          <w:numId w:val="1"/>
        </w:numPr>
      </w:pPr>
      <w:r w:rsidRPr="00862DAC">
        <w:t>Das et al., 2025 (</w:t>
      </w:r>
      <w:r w:rsidRPr="00862DAC">
        <w:rPr>
          <w:i/>
          <w:iCs/>
        </w:rPr>
        <w:t xml:space="preserve">BMC </w:t>
      </w:r>
      <w:proofErr w:type="spellStart"/>
      <w:r w:rsidRPr="00862DAC">
        <w:rPr>
          <w:i/>
          <w:iCs/>
        </w:rPr>
        <w:t>Microbiol</w:t>
      </w:r>
      <w:proofErr w:type="spellEnd"/>
      <w:r w:rsidRPr="00862DAC">
        <w:rPr>
          <w:i/>
          <w:iCs/>
        </w:rPr>
        <w:t>.</w:t>
      </w:r>
      <w:r w:rsidRPr="00862DAC">
        <w:t xml:space="preserve">): </w:t>
      </w:r>
      <w:hyperlink r:id="rId5" w:tgtFrame="_blank" w:history="1">
        <w:r w:rsidRPr="00862DAC">
          <w:rPr>
            <w:rStyle w:val="Hyperlink"/>
          </w:rPr>
          <w:t>https://doi.org/10.1186/s12866-025-04450-1</w:t>
        </w:r>
      </w:hyperlink>
    </w:p>
    <w:p w14:paraId="6CA6EBBC" w14:textId="2FA6B152" w:rsidR="00862DAC" w:rsidRPr="00862DAC" w:rsidRDefault="00862DAC" w:rsidP="00862DAC">
      <w:r w:rsidRPr="00862DAC">
        <w:rPr>
          <w:b/>
          <w:bCs/>
        </w:rPr>
        <w:t>Study Design:</w:t>
      </w:r>
      <w:r w:rsidRPr="00862DAC">
        <w:t xml:space="preserve"> Multi</w:t>
      </w:r>
      <w:r>
        <w:t>-</w:t>
      </w:r>
      <w:r w:rsidRPr="00862DAC">
        <w:t>omics environmental assessment integrating high</w:t>
      </w:r>
      <w:r>
        <w:t xml:space="preserve"> </w:t>
      </w:r>
      <w:r w:rsidRPr="00862DAC">
        <w:t xml:space="preserve">depth shotgun metagenomics, Inductively Coupled Plasma Mass Spectrometry (ICP-MS), and culture-dependent isolation to characterize the ecological health, element-microbe synergy, and xenobiotic detoxification pathways of the sacred </w:t>
      </w:r>
      <w:proofErr w:type="spellStart"/>
      <w:r w:rsidRPr="00862DAC">
        <w:t>Khecheopalri</w:t>
      </w:r>
      <w:proofErr w:type="spellEnd"/>
      <w:r w:rsidRPr="00862DAC">
        <w:t xml:space="preserve"> Lake. Situated in the Eastern Himalaya region (Sikkim, India), this high-altitude freshwater body is a recently recognized Ramsar Wetland site of immense ecological and cultural significance. Whole</w:t>
      </w:r>
      <w:r>
        <w:t xml:space="preserve"> </w:t>
      </w:r>
      <w:r w:rsidRPr="00862DAC">
        <w:t>community genomic DNA extracted from water filtration frameworks underwent deep shotgun metagenomic sequencing on Illumina platforms (2</w:t>
      </w:r>
      <w:r>
        <w:t>*</w:t>
      </w:r>
      <w:r w:rsidRPr="00862DAC">
        <w:t>150</w:t>
      </w:r>
      <w:r>
        <w:t xml:space="preserve"> </w:t>
      </w:r>
      <w:r w:rsidRPr="00862DAC">
        <w:t>bp paired</w:t>
      </w:r>
      <w:r>
        <w:t xml:space="preserve"> </w:t>
      </w:r>
      <w:r w:rsidRPr="00862DAC">
        <w:t>end chemistry) alongside elemental quantification to track how abiotic metal pooling shapes prokaryotic architectures and selects for specialized degradative pathways.</w:t>
      </w:r>
    </w:p>
    <w:p w14:paraId="5AAE8D39" w14:textId="1545259B" w:rsidR="00862DAC" w:rsidRPr="00862DAC" w:rsidRDefault="00862DAC" w:rsidP="00862DAC">
      <w:pPr>
        <w:rPr>
          <w:b/>
          <w:bCs/>
        </w:rPr>
      </w:pPr>
      <w:r w:rsidRPr="00862DAC">
        <w:rPr>
          <w:b/>
          <w:bCs/>
        </w:rPr>
        <w:t>Preprocessing &amp; Metagenomic De Novo Assembly</w:t>
      </w:r>
    </w:p>
    <w:p w14:paraId="756C9C58" w14:textId="77777777" w:rsidR="00862DAC" w:rsidRPr="00862DAC" w:rsidRDefault="00862DAC" w:rsidP="00862DAC">
      <w:pPr>
        <w:numPr>
          <w:ilvl w:val="0"/>
          <w:numId w:val="2"/>
        </w:numPr>
      </w:pPr>
      <w:r w:rsidRPr="00862DAC">
        <w:rPr>
          <w:b/>
          <w:bCs/>
        </w:rPr>
        <w:t>Tool(s):</w:t>
      </w:r>
      <w:r w:rsidRPr="00862DAC">
        <w:t xml:space="preserve"> FastQC or </w:t>
      </w:r>
      <w:proofErr w:type="spellStart"/>
      <w:r w:rsidRPr="00862DAC">
        <w:t>fastp</w:t>
      </w:r>
      <w:proofErr w:type="spellEnd"/>
      <w:r w:rsidRPr="00862DAC">
        <w:t xml:space="preserve"> for raw sequence read filtration, adapter removal, and sliding-window quality trimming; Bowtie2 for filtering out local background contaminants; MEGAHIT or </w:t>
      </w:r>
      <w:proofErr w:type="spellStart"/>
      <w:r w:rsidRPr="00862DAC">
        <w:t>metaSPAdes</w:t>
      </w:r>
      <w:proofErr w:type="spellEnd"/>
      <w:r w:rsidRPr="00862DAC">
        <w:t xml:space="preserve"> for </w:t>
      </w:r>
      <w:r w:rsidRPr="00862DAC">
        <w:rPr>
          <w:i/>
          <w:iCs/>
        </w:rPr>
        <w:t>de novo</w:t>
      </w:r>
      <w:r w:rsidRPr="00862DAC">
        <w:t xml:space="preserve"> contig graph generation.</w:t>
      </w:r>
    </w:p>
    <w:p w14:paraId="62B6D799" w14:textId="77777777" w:rsidR="00862DAC" w:rsidRPr="00862DAC" w:rsidRDefault="00862DAC" w:rsidP="00862DAC">
      <w:pPr>
        <w:numPr>
          <w:ilvl w:val="0"/>
          <w:numId w:val="2"/>
        </w:numPr>
      </w:pPr>
      <w:r w:rsidRPr="00862DAC">
        <w:rPr>
          <w:b/>
          <w:bCs/>
        </w:rPr>
        <w:t>Database(s):</w:t>
      </w:r>
      <w:r w:rsidRPr="00862DAC">
        <w:t xml:space="preserve"> Standard reference databases for quality checking and vector artifact removal.</w:t>
      </w:r>
    </w:p>
    <w:p w14:paraId="1B79FDB3" w14:textId="7CFF9DBA" w:rsidR="00862DAC" w:rsidRPr="00862DAC" w:rsidRDefault="00862DAC" w:rsidP="00862DAC">
      <w:pPr>
        <w:numPr>
          <w:ilvl w:val="0"/>
          <w:numId w:val="2"/>
        </w:numPr>
      </w:pPr>
      <w:r w:rsidRPr="00862DAC">
        <w:rPr>
          <w:b/>
          <w:bCs/>
        </w:rPr>
        <w:t>Normalization:</w:t>
      </w:r>
      <w:r w:rsidRPr="00862DAC">
        <w:t xml:space="preserve"> Base quality screening rejecting reads below a strict Phred quality threshold (Q</w:t>
      </w:r>
      <w:r>
        <w:t>&gt;</w:t>
      </w:r>
      <w:r w:rsidRPr="00862DAC">
        <w:t>20/Q30); elimination of low</w:t>
      </w:r>
      <w:r>
        <w:t xml:space="preserve"> </w:t>
      </w:r>
      <w:r w:rsidRPr="00862DAC">
        <w:t>complexity sequences to secure flawless assembly tracks.</w:t>
      </w:r>
    </w:p>
    <w:p w14:paraId="32066BD5" w14:textId="054D7D19" w:rsidR="00862DAC" w:rsidRPr="00862DAC" w:rsidRDefault="00862DAC" w:rsidP="00862DAC">
      <w:pPr>
        <w:numPr>
          <w:ilvl w:val="0"/>
          <w:numId w:val="2"/>
        </w:numPr>
      </w:pPr>
      <w:r w:rsidRPr="00862DAC">
        <w:rPr>
          <w:b/>
          <w:bCs/>
        </w:rPr>
        <w:t>Goal of the analysis:</w:t>
      </w:r>
      <w:r w:rsidRPr="00862DAC">
        <w:t xml:space="preserve"> Clean raw sequencing inputs, remove technical artifacts, and assemble high-fidelity contiguous scaffolds optimized for long</w:t>
      </w:r>
      <w:r>
        <w:t xml:space="preserve"> </w:t>
      </w:r>
      <w:r w:rsidRPr="00862DAC">
        <w:t>range environmental gene annotation.</w:t>
      </w:r>
    </w:p>
    <w:p w14:paraId="3B639FDF" w14:textId="02FF9070" w:rsidR="00862DAC" w:rsidRPr="00862DAC" w:rsidRDefault="00862DAC" w:rsidP="00862DAC">
      <w:pPr>
        <w:numPr>
          <w:ilvl w:val="0"/>
          <w:numId w:val="2"/>
        </w:numPr>
      </w:pPr>
      <w:r w:rsidRPr="00862DAC">
        <w:rPr>
          <w:b/>
          <w:bCs/>
        </w:rPr>
        <w:t>Key metrics or statistical approaches:</w:t>
      </w:r>
      <w:r w:rsidRPr="00862DAC">
        <w:t xml:space="preserve"> Total raw read counts, post</w:t>
      </w:r>
      <w:r>
        <w:t xml:space="preserve"> </w:t>
      </w:r>
      <w:r w:rsidRPr="00862DAC">
        <w:t>filter clean sequence counts, average GC content (%), total assembled scaffold numbers, and N50 length assembly statistics.</w:t>
      </w:r>
    </w:p>
    <w:p w14:paraId="77F91183" w14:textId="77777777" w:rsidR="00862DAC" w:rsidRPr="00862DAC" w:rsidRDefault="00862DAC" w:rsidP="00862DAC">
      <w:pPr>
        <w:rPr>
          <w:b/>
          <w:bCs/>
        </w:rPr>
      </w:pPr>
      <w:r w:rsidRPr="00862DAC">
        <w:rPr>
          <w:b/>
          <w:bCs/>
        </w:rPr>
        <w:t>Taxonomic Profiling &amp; Wetland Biosystematics</w:t>
      </w:r>
    </w:p>
    <w:p w14:paraId="2921D730" w14:textId="4A3DDA8E" w:rsidR="00862DAC" w:rsidRPr="00862DAC" w:rsidRDefault="00862DAC" w:rsidP="00862DAC">
      <w:pPr>
        <w:numPr>
          <w:ilvl w:val="0"/>
          <w:numId w:val="3"/>
        </w:numPr>
      </w:pPr>
      <w:r w:rsidRPr="00862DAC">
        <w:rPr>
          <w:b/>
          <w:bCs/>
        </w:rPr>
        <w:t>Tool(s):</w:t>
      </w:r>
      <w:r w:rsidRPr="00862DAC">
        <w:t xml:space="preserve"> Kraken2 or </w:t>
      </w:r>
      <w:proofErr w:type="spellStart"/>
      <w:r w:rsidRPr="00862DAC">
        <w:t>MetaPhlAn</w:t>
      </w:r>
      <w:proofErr w:type="spellEnd"/>
      <w:r w:rsidRPr="00862DAC">
        <w:t xml:space="preserve"> pipelines for direct taxonomic read</w:t>
      </w:r>
      <w:r>
        <w:t xml:space="preserve"> </w:t>
      </w:r>
      <w:r w:rsidRPr="00862DAC">
        <w:t xml:space="preserve">fragment classification; Bracken for precise abundance re-estimation at the species level; </w:t>
      </w:r>
      <w:proofErr w:type="spellStart"/>
      <w:r w:rsidRPr="00862DAC">
        <w:t>phyloseq</w:t>
      </w:r>
      <w:proofErr w:type="spellEnd"/>
      <w:r w:rsidRPr="00862DAC">
        <w:t xml:space="preserve"> and Vegan R packages for diversity </w:t>
      </w:r>
      <w:proofErr w:type="spellStart"/>
      <w:r w:rsidRPr="00862DAC">
        <w:t>modeling</w:t>
      </w:r>
      <w:proofErr w:type="spellEnd"/>
      <w:r w:rsidRPr="00862DAC">
        <w:t xml:space="preserve"> and multivariate layouts.</w:t>
      </w:r>
    </w:p>
    <w:p w14:paraId="12490503" w14:textId="77777777" w:rsidR="00862DAC" w:rsidRPr="00862DAC" w:rsidRDefault="00862DAC" w:rsidP="00862DAC">
      <w:pPr>
        <w:numPr>
          <w:ilvl w:val="0"/>
          <w:numId w:val="3"/>
        </w:numPr>
      </w:pPr>
      <w:r w:rsidRPr="00862DAC">
        <w:rPr>
          <w:b/>
          <w:bCs/>
        </w:rPr>
        <w:t>Database(s):</w:t>
      </w:r>
      <w:r w:rsidRPr="00862DAC">
        <w:t xml:space="preserve"> Standard NCBI </w:t>
      </w:r>
      <w:proofErr w:type="spellStart"/>
      <w:r w:rsidRPr="00862DAC">
        <w:t>RefSeq</w:t>
      </w:r>
      <w:proofErr w:type="spellEnd"/>
      <w:r w:rsidRPr="00862DAC">
        <w:t xml:space="preserve"> microbial genomics collection; SILVA SSU database; GTDB taxonomy reference </w:t>
      </w:r>
      <w:proofErr w:type="spellStart"/>
      <w:r w:rsidRPr="00862DAC">
        <w:t>catalog</w:t>
      </w:r>
      <w:proofErr w:type="spellEnd"/>
      <w:r w:rsidRPr="00862DAC">
        <w:t>.</w:t>
      </w:r>
    </w:p>
    <w:p w14:paraId="1651FCE3" w14:textId="5A000A76" w:rsidR="00862DAC" w:rsidRPr="00862DAC" w:rsidRDefault="00862DAC" w:rsidP="00862DAC">
      <w:pPr>
        <w:numPr>
          <w:ilvl w:val="0"/>
          <w:numId w:val="3"/>
        </w:numPr>
      </w:pPr>
      <w:r w:rsidRPr="00862DAC">
        <w:rPr>
          <w:b/>
          <w:bCs/>
        </w:rPr>
        <w:t>Normalization:</w:t>
      </w:r>
      <w:r w:rsidRPr="00862DAC">
        <w:t xml:space="preserve"> Raw sequence count matrices normalized into length</w:t>
      </w:r>
      <w:r>
        <w:t xml:space="preserve"> </w:t>
      </w:r>
      <w:r w:rsidRPr="00862DAC">
        <w:t>adjusted relative abundance percentages or composition</w:t>
      </w:r>
      <w:r>
        <w:t xml:space="preserve"> </w:t>
      </w:r>
      <w:r w:rsidRPr="00862DAC">
        <w:t>adjusted scaling parameters to manage varying library sizes across sample sites.</w:t>
      </w:r>
    </w:p>
    <w:p w14:paraId="625F5E2A" w14:textId="77777777" w:rsidR="00862DAC" w:rsidRPr="00862DAC" w:rsidRDefault="00862DAC" w:rsidP="00862DAC">
      <w:pPr>
        <w:numPr>
          <w:ilvl w:val="0"/>
          <w:numId w:val="3"/>
        </w:numPr>
      </w:pPr>
      <w:r w:rsidRPr="00862DAC">
        <w:rPr>
          <w:b/>
          <w:bCs/>
        </w:rPr>
        <w:lastRenderedPageBreak/>
        <w:t>Goal of the analysis:</w:t>
      </w:r>
      <w:r w:rsidRPr="00862DAC">
        <w:t xml:space="preserve"> Profile the primary core bacteriome and </w:t>
      </w:r>
      <w:proofErr w:type="spellStart"/>
      <w:r w:rsidRPr="00862DAC">
        <w:t>archaeome</w:t>
      </w:r>
      <w:proofErr w:type="spellEnd"/>
      <w:r w:rsidRPr="00862DAC">
        <w:t xml:space="preserve"> architecture of the sacred lake, establishing baseline community distributions across phyla, families, and genera.</w:t>
      </w:r>
    </w:p>
    <w:p w14:paraId="7FAC58F4" w14:textId="269C9620" w:rsidR="00862DAC" w:rsidRPr="00862DAC" w:rsidRDefault="00862DAC" w:rsidP="00862DAC">
      <w:pPr>
        <w:numPr>
          <w:ilvl w:val="0"/>
          <w:numId w:val="3"/>
        </w:numPr>
      </w:pPr>
      <w:r w:rsidRPr="00862DAC">
        <w:rPr>
          <w:b/>
          <w:bCs/>
        </w:rPr>
        <w:t>Key metrics or statistical approaches:</w:t>
      </w:r>
      <w:r w:rsidRPr="00862DAC">
        <w:t xml:space="preserve"> Structural alpha diversity estimators (Shannon entropy, Simpson indices, and Chao1 richness indicators) to evaluate species abundance; non-metric multidimensional scaling (NMDS) or Principal Coordinate Analysis (</w:t>
      </w:r>
      <w:proofErr w:type="spellStart"/>
      <w:r w:rsidRPr="00862DAC">
        <w:t>PCoA</w:t>
      </w:r>
      <w:proofErr w:type="spellEnd"/>
      <w:r w:rsidRPr="00862DAC">
        <w:t>) on Bray</w:t>
      </w:r>
      <w:r>
        <w:t xml:space="preserve"> </w:t>
      </w:r>
      <w:r w:rsidRPr="00862DAC">
        <w:t>Curtis dissimilarity matrices paired with PERMANOVA to statistically partition community variation relative to different lake zones.</w:t>
      </w:r>
    </w:p>
    <w:p w14:paraId="11DD97D5" w14:textId="047DA678" w:rsidR="00862DAC" w:rsidRPr="00862DAC" w:rsidRDefault="00862DAC" w:rsidP="00862DAC">
      <w:pPr>
        <w:rPr>
          <w:b/>
          <w:bCs/>
        </w:rPr>
      </w:pPr>
      <w:r w:rsidRPr="00862DAC">
        <w:rPr>
          <w:b/>
          <w:bCs/>
        </w:rPr>
        <w:t>Elemental Dynamics &amp; Element</w:t>
      </w:r>
      <w:r>
        <w:rPr>
          <w:b/>
          <w:bCs/>
        </w:rPr>
        <w:t xml:space="preserve"> </w:t>
      </w:r>
      <w:r w:rsidRPr="00862DAC">
        <w:rPr>
          <w:b/>
          <w:bCs/>
        </w:rPr>
        <w:t xml:space="preserve">Microbe Synergy </w:t>
      </w:r>
      <w:proofErr w:type="spellStart"/>
      <w:r w:rsidRPr="00862DAC">
        <w:rPr>
          <w:b/>
          <w:bCs/>
        </w:rPr>
        <w:t>Modeling</w:t>
      </w:r>
      <w:proofErr w:type="spellEnd"/>
    </w:p>
    <w:p w14:paraId="7D167E59" w14:textId="77777777" w:rsidR="00862DAC" w:rsidRPr="00862DAC" w:rsidRDefault="00862DAC" w:rsidP="00862DAC">
      <w:pPr>
        <w:numPr>
          <w:ilvl w:val="0"/>
          <w:numId w:val="4"/>
        </w:numPr>
      </w:pPr>
      <w:r w:rsidRPr="00862DAC">
        <w:rPr>
          <w:b/>
          <w:bCs/>
        </w:rPr>
        <w:t>Tool(s):</w:t>
      </w:r>
      <w:r w:rsidRPr="00862DAC">
        <w:t xml:space="preserve"> Inductively Coupled Plasma Mass Spectrometry (ICP-MS) data integration suites; multivariate ecological R engines; correlation network plotting infrastructure.</w:t>
      </w:r>
    </w:p>
    <w:p w14:paraId="62FA1078" w14:textId="77777777" w:rsidR="00862DAC" w:rsidRPr="00862DAC" w:rsidRDefault="00862DAC" w:rsidP="00862DAC">
      <w:pPr>
        <w:numPr>
          <w:ilvl w:val="0"/>
          <w:numId w:val="4"/>
        </w:numPr>
      </w:pPr>
      <w:r w:rsidRPr="00862DAC">
        <w:rPr>
          <w:b/>
          <w:bCs/>
        </w:rPr>
        <w:t>Database(s):</w:t>
      </w:r>
      <w:r w:rsidRPr="00862DAC">
        <w:t xml:space="preserve"> Quantitative ICP-MS elemental datasets recording absolute concentrations of heavy metals, trace minerals, and macronutrients across sample coordinates.</w:t>
      </w:r>
    </w:p>
    <w:p w14:paraId="2E56BA6A" w14:textId="77777777" w:rsidR="00862DAC" w:rsidRPr="00862DAC" w:rsidRDefault="00862DAC" w:rsidP="00862DAC">
      <w:pPr>
        <w:numPr>
          <w:ilvl w:val="0"/>
          <w:numId w:val="4"/>
        </w:numPr>
      </w:pPr>
      <w:r w:rsidRPr="00862DAC">
        <w:rPr>
          <w:b/>
          <w:bCs/>
        </w:rPr>
        <w:t>Normalization:</w:t>
      </w:r>
      <w:r w:rsidRPr="00862DAC">
        <w:t xml:space="preserve"> Core filtering of sequencing data requiring a minimum relative abundance baseline threshold to suppress sparsity noise before correlation matrix calculations.</w:t>
      </w:r>
    </w:p>
    <w:p w14:paraId="503A40C9" w14:textId="77777777" w:rsidR="00862DAC" w:rsidRPr="00862DAC" w:rsidRDefault="00862DAC" w:rsidP="00862DAC">
      <w:pPr>
        <w:numPr>
          <w:ilvl w:val="0"/>
          <w:numId w:val="4"/>
        </w:numPr>
      </w:pPr>
      <w:r w:rsidRPr="00862DAC">
        <w:rPr>
          <w:b/>
          <w:bCs/>
        </w:rPr>
        <w:t>Goal of the analysis:</w:t>
      </w:r>
      <w:r w:rsidRPr="00862DAC">
        <w:t xml:space="preserve"> Model the precise ecological interactions between water elemental dynamics and microbial community structures, uncovering how specific trace elements shape the lake's resident microbiome.</w:t>
      </w:r>
    </w:p>
    <w:p w14:paraId="65D43569" w14:textId="079869FE" w:rsidR="00862DAC" w:rsidRPr="00862DAC" w:rsidRDefault="00862DAC" w:rsidP="00862DAC">
      <w:pPr>
        <w:numPr>
          <w:ilvl w:val="0"/>
          <w:numId w:val="4"/>
        </w:numPr>
      </w:pPr>
      <w:r w:rsidRPr="00862DAC">
        <w:rPr>
          <w:b/>
          <w:bCs/>
        </w:rPr>
        <w:t>Key metrics or statistical approaches:</w:t>
      </w:r>
      <w:r w:rsidRPr="00862DAC">
        <w:t xml:space="preserve"> Non-parametric Spearman rank correlation coefficients (</w:t>
      </w:r>
      <w:r>
        <w:t>rho</w:t>
      </w:r>
      <w:r w:rsidRPr="00862DAC">
        <w:t>) or Pearson correlation matrices mapping specific microbial lineages against absolute element concentration profiles; Procrustes analysis computing structural concordance between taxonomic datasets and elemental matrix layouts to identify primary geochemical drivers.</w:t>
      </w:r>
    </w:p>
    <w:p w14:paraId="1911E78C" w14:textId="77777777" w:rsidR="00862DAC" w:rsidRPr="00862DAC" w:rsidRDefault="00862DAC" w:rsidP="00862DAC">
      <w:pPr>
        <w:rPr>
          <w:b/>
          <w:bCs/>
        </w:rPr>
      </w:pPr>
      <w:r w:rsidRPr="00862DAC">
        <w:rPr>
          <w:b/>
          <w:bCs/>
        </w:rPr>
        <w:t>Xenobiotic Detoxification &amp; Functional Metabolic Mapping</w:t>
      </w:r>
    </w:p>
    <w:p w14:paraId="5EEC96A3" w14:textId="77777777" w:rsidR="00862DAC" w:rsidRPr="00862DAC" w:rsidRDefault="00862DAC" w:rsidP="00862DAC">
      <w:pPr>
        <w:numPr>
          <w:ilvl w:val="0"/>
          <w:numId w:val="5"/>
        </w:numPr>
      </w:pPr>
      <w:r w:rsidRPr="00862DAC">
        <w:rPr>
          <w:b/>
          <w:bCs/>
        </w:rPr>
        <w:t>Tool(s):</w:t>
      </w:r>
      <w:r w:rsidRPr="00862DAC">
        <w:t xml:space="preserve"> Prodigal for </w:t>
      </w:r>
      <w:r w:rsidRPr="00862DAC">
        <w:rPr>
          <w:i/>
          <w:iCs/>
        </w:rPr>
        <w:t>ab-initio</w:t>
      </w:r>
      <w:r w:rsidRPr="00862DAC">
        <w:t xml:space="preserve"> open reading frame (ORF) and gene prediction; </w:t>
      </w:r>
      <w:proofErr w:type="spellStart"/>
      <w:r w:rsidRPr="00862DAC">
        <w:t>HUMAnN</w:t>
      </w:r>
      <w:proofErr w:type="spellEnd"/>
      <w:r w:rsidRPr="00862DAC">
        <w:t xml:space="preserve"> or </w:t>
      </w:r>
      <w:proofErr w:type="spellStart"/>
      <w:r w:rsidRPr="00862DAC">
        <w:t>eggNOG</w:t>
      </w:r>
      <w:proofErr w:type="spellEnd"/>
      <w:r w:rsidRPr="00862DAC">
        <w:t xml:space="preserve">-mapper pipelines for functional gene annotation and pathway extraction; </w:t>
      </w:r>
      <w:proofErr w:type="spellStart"/>
      <w:r w:rsidRPr="00862DAC">
        <w:t>dbCAN</w:t>
      </w:r>
      <w:proofErr w:type="spellEnd"/>
      <w:r w:rsidRPr="00862DAC">
        <w:t xml:space="preserve"> servers for carbohydrate-active enzyme (</w:t>
      </w:r>
      <w:proofErr w:type="spellStart"/>
      <w:r w:rsidRPr="00862DAC">
        <w:t>CAZyme</w:t>
      </w:r>
      <w:proofErr w:type="spellEnd"/>
      <w:r w:rsidRPr="00862DAC">
        <w:t>) domain profiling.</w:t>
      </w:r>
    </w:p>
    <w:p w14:paraId="355BCE92" w14:textId="77777777" w:rsidR="00862DAC" w:rsidRPr="00862DAC" w:rsidRDefault="00862DAC" w:rsidP="00862DAC">
      <w:pPr>
        <w:numPr>
          <w:ilvl w:val="0"/>
          <w:numId w:val="5"/>
        </w:numPr>
      </w:pPr>
      <w:r w:rsidRPr="00862DAC">
        <w:rPr>
          <w:b/>
          <w:bCs/>
        </w:rPr>
        <w:t>Database(s):</w:t>
      </w:r>
      <w:r w:rsidRPr="00862DAC">
        <w:t xml:space="preserve"> KEGG </w:t>
      </w:r>
      <w:proofErr w:type="spellStart"/>
      <w:r w:rsidRPr="00862DAC">
        <w:t>Orthology</w:t>
      </w:r>
      <w:proofErr w:type="spellEnd"/>
      <w:r w:rsidRPr="00862DAC">
        <w:t xml:space="preserve"> (KO) database; </w:t>
      </w:r>
      <w:proofErr w:type="spellStart"/>
      <w:r w:rsidRPr="00862DAC">
        <w:t>CAZy</w:t>
      </w:r>
      <w:proofErr w:type="spellEnd"/>
      <w:r w:rsidRPr="00862DAC">
        <w:t xml:space="preserve"> database; </w:t>
      </w:r>
      <w:proofErr w:type="spellStart"/>
      <w:r w:rsidRPr="00862DAC">
        <w:t>eggNOG</w:t>
      </w:r>
      <w:proofErr w:type="spellEnd"/>
      <w:r w:rsidRPr="00862DAC">
        <w:t xml:space="preserve"> </w:t>
      </w:r>
      <w:proofErr w:type="spellStart"/>
      <w:r w:rsidRPr="00862DAC">
        <w:t>orthology</w:t>
      </w:r>
      <w:proofErr w:type="spellEnd"/>
      <w:r w:rsidRPr="00862DAC">
        <w:t>; specialized reference collections mapping verified xenobiotic biodegradation genes.</w:t>
      </w:r>
    </w:p>
    <w:p w14:paraId="1E108B56" w14:textId="5B59A14A" w:rsidR="00862DAC" w:rsidRPr="00862DAC" w:rsidRDefault="00862DAC" w:rsidP="00862DAC">
      <w:pPr>
        <w:numPr>
          <w:ilvl w:val="0"/>
          <w:numId w:val="5"/>
        </w:numPr>
      </w:pPr>
      <w:r w:rsidRPr="00862DAC">
        <w:rPr>
          <w:b/>
          <w:bCs/>
        </w:rPr>
        <w:t>Normalization:</w:t>
      </w:r>
      <w:r w:rsidRPr="00862DAC">
        <w:t xml:space="preserve"> Functional gene counts length</w:t>
      </w:r>
      <w:r>
        <w:t xml:space="preserve"> </w:t>
      </w:r>
      <w:r w:rsidRPr="00862DAC">
        <w:t>normalized and expressed relative to total library sequencing constants or scaled as module completion fractions from 0 to 1.0.</w:t>
      </w:r>
    </w:p>
    <w:p w14:paraId="7BBE22FA" w14:textId="77777777" w:rsidR="00862DAC" w:rsidRPr="00862DAC" w:rsidRDefault="00862DAC" w:rsidP="00862DAC">
      <w:pPr>
        <w:numPr>
          <w:ilvl w:val="0"/>
          <w:numId w:val="5"/>
        </w:numPr>
      </w:pPr>
      <w:r w:rsidRPr="00862DAC">
        <w:rPr>
          <w:b/>
          <w:bCs/>
        </w:rPr>
        <w:t>Goal of the analysis:</w:t>
      </w:r>
      <w:r w:rsidRPr="00862DAC">
        <w:t xml:space="preserve"> Reconstruct functional metabolic pathways encoded within the wetland biome, with a specific focus on mapping out active carbon, nitrogen, and </w:t>
      </w:r>
      <w:proofErr w:type="spellStart"/>
      <w:r w:rsidRPr="00862DAC">
        <w:t>sulfur</w:t>
      </w:r>
      <w:proofErr w:type="spellEnd"/>
      <w:r w:rsidRPr="00862DAC">
        <w:t xml:space="preserve"> cycles alongside hidden xenobiotic detoxification and degradation cassettes.</w:t>
      </w:r>
    </w:p>
    <w:p w14:paraId="4850CEA0" w14:textId="77777777" w:rsidR="00862DAC" w:rsidRPr="00862DAC" w:rsidRDefault="00862DAC" w:rsidP="00862DAC">
      <w:pPr>
        <w:numPr>
          <w:ilvl w:val="0"/>
          <w:numId w:val="5"/>
        </w:numPr>
      </w:pPr>
      <w:r w:rsidRPr="00862DAC">
        <w:rPr>
          <w:b/>
          <w:bCs/>
        </w:rPr>
        <w:t>Key metrics or statistical approaches:</w:t>
      </w:r>
      <w:r w:rsidRPr="00862DAC">
        <w:t xml:space="preserve"> Quantifying module completeness for core biogeochemical pathways; tracking the abundance, enrichment, and path completeness of gene networks driving aromatic hydrocarbon, plasticizer, surfactant, or persistent organic pollutant breakdown to evaluate the lake's intrinsic bioremediation potential.</w:t>
      </w:r>
    </w:p>
    <w:p w14:paraId="041C5F1C" w14:textId="77777777" w:rsidR="000C3267" w:rsidRPr="00862DAC" w:rsidRDefault="000C3267" w:rsidP="00862DAC"/>
    <w:sectPr w:rsidR="000C3267" w:rsidRPr="00862D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FE4890"/>
    <w:multiLevelType w:val="multilevel"/>
    <w:tmpl w:val="F63E5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C04B75"/>
    <w:multiLevelType w:val="multilevel"/>
    <w:tmpl w:val="0D806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53A6209"/>
    <w:multiLevelType w:val="multilevel"/>
    <w:tmpl w:val="817E5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68640D9"/>
    <w:multiLevelType w:val="multilevel"/>
    <w:tmpl w:val="09CAF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98008B0"/>
    <w:multiLevelType w:val="multilevel"/>
    <w:tmpl w:val="EA28B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5168471">
    <w:abstractNumId w:val="2"/>
  </w:num>
  <w:num w:numId="2" w16cid:durableId="529953939">
    <w:abstractNumId w:val="4"/>
  </w:num>
  <w:num w:numId="3" w16cid:durableId="999501920">
    <w:abstractNumId w:val="3"/>
  </w:num>
  <w:num w:numId="4" w16cid:durableId="1675916893">
    <w:abstractNumId w:val="0"/>
  </w:num>
  <w:num w:numId="5" w16cid:durableId="12306520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2DAC"/>
    <w:rsid w:val="000C3267"/>
    <w:rsid w:val="00227B78"/>
    <w:rsid w:val="007A7287"/>
    <w:rsid w:val="00850FB5"/>
    <w:rsid w:val="00862DAC"/>
    <w:rsid w:val="00C437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CAE50A"/>
  <w15:chartTrackingRefBased/>
  <w15:docId w15:val="{E6716434-9A8B-4D3B-AB0B-0772A95182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2D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2D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2DA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2D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2DA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2D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2D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2D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2D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2DA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2D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2DA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2DA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2DA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2D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2D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2D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2D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2D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2D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2D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2D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2D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2D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2D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2DA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2D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2DA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2DA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62DA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2DA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google.com/search?q=https://doi.org/10.1186/s12866-025-04450-1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866</Words>
  <Characters>4942</Characters>
  <Application>Microsoft Office Word</Application>
  <DocSecurity>0</DocSecurity>
  <Lines>41</Lines>
  <Paragraphs>11</Paragraphs>
  <ScaleCrop>false</ScaleCrop>
  <Company/>
  <LinksUpToDate>false</LinksUpToDate>
  <CharactersWithSpaces>5797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Melvin Joseph</dc:creator>
  <cp:keywords/>
  <dc:description/>
  <cp:lastModifiedBy>Melvin Joseph</cp:lastModifiedBy>
  <cp:revision>1</cp:revision>
  <dcterms:created xsi:type="dcterms:W3CDTF">2026-06-25T05:35:00Z</dcterms:created>
  <dcterms:modified xsi:type="dcterms:W3CDTF">2026-06-25T05:38:00Z</dcterms:modified>
</cp:coreProperties>
</file>