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EAAA" w14:textId="77777777" w:rsidR="00423C76" w:rsidRPr="00423C76" w:rsidRDefault="00423C76" w:rsidP="00423C76">
      <w:pPr>
        <w:rPr>
          <w:b/>
          <w:bCs/>
          <w:sz w:val="36"/>
          <w:szCs w:val="36"/>
        </w:rPr>
      </w:pPr>
      <w:r w:rsidRPr="00423C76">
        <w:rPr>
          <w:b/>
          <w:bCs/>
          <w:sz w:val="36"/>
          <w:szCs w:val="36"/>
        </w:rPr>
        <w:t>Analysis Plan - SRP607955</w:t>
      </w:r>
    </w:p>
    <w:p w14:paraId="2B187FDC" w14:textId="77777777" w:rsidR="00423C76" w:rsidRPr="00423C76" w:rsidRDefault="00423C76" w:rsidP="00423C76">
      <w:r w:rsidRPr="00423C76">
        <w:rPr>
          <w:b/>
          <w:bCs/>
        </w:rPr>
        <w:t>Study Accession:</w:t>
      </w:r>
      <w:r w:rsidRPr="00423C76">
        <w:t xml:space="preserve"> SRP607955 (SRA </w:t>
      </w:r>
      <w:proofErr w:type="spellStart"/>
      <w:r w:rsidRPr="00423C76">
        <w:t>BioProject</w:t>
      </w:r>
      <w:proofErr w:type="spellEnd"/>
      <w:r w:rsidRPr="00423C76">
        <w:t xml:space="preserve"> PRJNA1304237)</w:t>
      </w:r>
    </w:p>
    <w:p w14:paraId="65EDD763" w14:textId="77777777" w:rsidR="00423C76" w:rsidRPr="00423C76" w:rsidRDefault="00423C76" w:rsidP="00423C76">
      <w:r w:rsidRPr="00423C76">
        <w:rPr>
          <w:b/>
          <w:bCs/>
        </w:rPr>
        <w:t>Study Type:</w:t>
      </w:r>
      <w:r w:rsidRPr="00423C76">
        <w:t xml:space="preserve"> </w:t>
      </w:r>
      <w:proofErr w:type="spellStart"/>
      <w:r w:rsidRPr="00423C76">
        <w:t>Pediatric</w:t>
      </w:r>
      <w:proofErr w:type="spellEnd"/>
      <w:r w:rsidRPr="00423C76">
        <w:t xml:space="preserve"> clinical neonatology, intestinal inflammatory dysbiosis, and shotgun metagenomics</w:t>
      </w:r>
    </w:p>
    <w:p w14:paraId="706CE134" w14:textId="77777777" w:rsidR="00423C76" w:rsidRPr="00423C76" w:rsidRDefault="00423C76" w:rsidP="00423C76">
      <w:r w:rsidRPr="00423C76">
        <w:rPr>
          <w:b/>
          <w:bCs/>
        </w:rPr>
        <w:t>Sample Type:</w:t>
      </w:r>
      <w:r w:rsidRPr="00423C76">
        <w:t xml:space="preserve"> Neonatal </w:t>
      </w:r>
      <w:proofErr w:type="spellStart"/>
      <w:r w:rsidRPr="00423C76">
        <w:t>fecal</w:t>
      </w:r>
      <w:proofErr w:type="spellEnd"/>
      <w:r w:rsidRPr="00423C76">
        <w:t>/stool specimens collected during the first month of life from preterm infants</w:t>
      </w:r>
    </w:p>
    <w:p w14:paraId="1C088BD8" w14:textId="77777777" w:rsidR="00423C76" w:rsidRPr="00423C76" w:rsidRDefault="00423C76" w:rsidP="00423C76">
      <w:r w:rsidRPr="00423C76">
        <w:rPr>
          <w:b/>
          <w:bCs/>
        </w:rPr>
        <w:t>Associated Publications / DOIs:</w:t>
      </w:r>
    </w:p>
    <w:p w14:paraId="0EE98C01" w14:textId="77777777" w:rsidR="00423C76" w:rsidRPr="00423C76" w:rsidRDefault="00423C76" w:rsidP="00423C76">
      <w:pPr>
        <w:numPr>
          <w:ilvl w:val="0"/>
          <w:numId w:val="1"/>
        </w:numPr>
      </w:pPr>
      <w:r w:rsidRPr="00423C76">
        <w:t>Devarajalu et al., 2025 (</w:t>
      </w:r>
      <w:r w:rsidRPr="00423C76">
        <w:rPr>
          <w:i/>
          <w:iCs/>
        </w:rPr>
        <w:t xml:space="preserve">Front Cell Infection </w:t>
      </w:r>
      <w:proofErr w:type="spellStart"/>
      <w:r w:rsidRPr="00423C76">
        <w:rPr>
          <w:i/>
          <w:iCs/>
        </w:rPr>
        <w:t>Microbiol</w:t>
      </w:r>
      <w:proofErr w:type="spellEnd"/>
      <w:r w:rsidRPr="00423C76">
        <w:t>): 10.3389/fcimb.2025.1649384</w:t>
      </w:r>
    </w:p>
    <w:p w14:paraId="30ACAE1F" w14:textId="7BB91434" w:rsidR="00423C76" w:rsidRPr="00423C76" w:rsidRDefault="00423C76" w:rsidP="00423C76">
      <w:r w:rsidRPr="00423C76">
        <w:rPr>
          <w:b/>
          <w:bCs/>
        </w:rPr>
        <w:t>Study Design:</w:t>
      </w:r>
      <w:r w:rsidRPr="00423C76">
        <w:t xml:space="preserve"> Prospective observational cohort study evaluating gut microbiota signatures in Indian preterm infants with Necrotizing Enterocolitis (NEC). Conducted between September 2022 and January 2025 at a tertiary care neonatal intensive care unit (NICU) in Northern India, the study recruited premature infants born between 26 and 32 weeks of gestation with birth weights &lt;1500 g. Longitudinal </w:t>
      </w:r>
      <w:proofErr w:type="spellStart"/>
      <w:r w:rsidRPr="00423C76">
        <w:t>fecal</w:t>
      </w:r>
      <w:proofErr w:type="spellEnd"/>
      <w:r w:rsidRPr="00423C76">
        <w:t xml:space="preserve"> specimens from infants diagnosed with NEC (median time to diagnosis: 9 days) were compared against healthy preterm control subjects explicitly matched for gestational age and postnatal day of life ($n=24$). Total community genomic DNA extracted from stool matrices was sequenced on the Illumina </w:t>
      </w:r>
      <w:proofErr w:type="spellStart"/>
      <w:r w:rsidRPr="00423C76">
        <w:t>NovaSeq</w:t>
      </w:r>
      <w:proofErr w:type="spellEnd"/>
      <w:r w:rsidRPr="00423C76">
        <w:t xml:space="preserve"> X Plus platform (2</w:t>
      </w:r>
      <w:r>
        <w:t>*</w:t>
      </w:r>
      <w:r w:rsidRPr="00423C76">
        <w:t>150bp paired chemistry, averaging 22.8 million reads per sample) to describe structural dysbiosis and functional pathogenic modules.</w:t>
      </w:r>
    </w:p>
    <w:p w14:paraId="6BA0B818" w14:textId="77777777" w:rsidR="00423C76" w:rsidRPr="00423C76" w:rsidRDefault="00423C76" w:rsidP="00423C76">
      <w:pPr>
        <w:rPr>
          <w:b/>
          <w:bCs/>
        </w:rPr>
      </w:pPr>
      <w:r w:rsidRPr="00423C76">
        <w:rPr>
          <w:b/>
          <w:bCs/>
        </w:rPr>
        <w:t>Taxonomic Profiling &amp; Diversity Analysis</w:t>
      </w:r>
    </w:p>
    <w:p w14:paraId="0FC372F3" w14:textId="77777777" w:rsidR="00423C76" w:rsidRPr="00423C76" w:rsidRDefault="00423C76" w:rsidP="00423C76">
      <w:pPr>
        <w:numPr>
          <w:ilvl w:val="0"/>
          <w:numId w:val="2"/>
        </w:numPr>
      </w:pPr>
      <w:r w:rsidRPr="00423C76">
        <w:rPr>
          <w:b/>
          <w:bCs/>
        </w:rPr>
        <w:t>Tool(s):</w:t>
      </w:r>
      <w:r w:rsidRPr="00423C76">
        <w:t xml:space="preserve"> </w:t>
      </w:r>
      <w:proofErr w:type="spellStart"/>
      <w:r w:rsidRPr="00423C76">
        <w:t>fastq</w:t>
      </w:r>
      <w:proofErr w:type="spellEnd"/>
      <w:r w:rsidRPr="00423C76">
        <w:t xml:space="preserve">-mcf (v1.04.803) for adapter sequence trimming; BWA (v0.7.12) for screening and removing human host genome contamination; </w:t>
      </w:r>
      <w:proofErr w:type="spellStart"/>
      <w:r w:rsidRPr="00423C76">
        <w:t>Phyloseq</w:t>
      </w:r>
      <w:proofErr w:type="spellEnd"/>
      <w:r w:rsidRPr="00423C76">
        <w:t xml:space="preserve"> package for alpha diversity computation; Vegan package for multivariate beta-diversity </w:t>
      </w:r>
      <w:proofErr w:type="spellStart"/>
      <w:r w:rsidRPr="00423C76">
        <w:t>modeling</w:t>
      </w:r>
      <w:proofErr w:type="spellEnd"/>
      <w:r w:rsidRPr="00423C76">
        <w:t>.</w:t>
      </w:r>
    </w:p>
    <w:p w14:paraId="581D7C10" w14:textId="77777777" w:rsidR="00423C76" w:rsidRPr="00423C76" w:rsidRDefault="00423C76" w:rsidP="00423C76">
      <w:pPr>
        <w:numPr>
          <w:ilvl w:val="0"/>
          <w:numId w:val="2"/>
        </w:numPr>
      </w:pPr>
      <w:r w:rsidRPr="00423C76">
        <w:rPr>
          <w:b/>
          <w:bCs/>
        </w:rPr>
        <w:t>Database(s):</w:t>
      </w:r>
      <w:r w:rsidRPr="00423C76">
        <w:t xml:space="preserve"> hg19 human reference genome (for decontamination filtering); National </w:t>
      </w:r>
      <w:proofErr w:type="spellStart"/>
      <w:r w:rsidRPr="00423C76">
        <w:t>Center</w:t>
      </w:r>
      <w:proofErr w:type="spellEnd"/>
      <w:r w:rsidRPr="00423C76">
        <w:t xml:space="preserve"> for Biotechnology Information (NCBI) taxonomic reference datasets.</w:t>
      </w:r>
    </w:p>
    <w:p w14:paraId="7E2D5CF5" w14:textId="77777777" w:rsidR="00423C76" w:rsidRPr="00423C76" w:rsidRDefault="00423C76" w:rsidP="00423C76">
      <w:pPr>
        <w:numPr>
          <w:ilvl w:val="0"/>
          <w:numId w:val="2"/>
        </w:numPr>
      </w:pPr>
      <w:r w:rsidRPr="00423C76">
        <w:rPr>
          <w:b/>
          <w:bCs/>
        </w:rPr>
        <w:t>Normalization:</w:t>
      </w:r>
      <w:r w:rsidRPr="00423C76">
        <w:t xml:space="preserve"> Sequencing read filtering for quality assurance; relative abundance percentage transformation tracking dominant phyla (</w:t>
      </w:r>
      <w:r w:rsidRPr="00423C76">
        <w:rPr>
          <w:i/>
          <w:iCs/>
        </w:rPr>
        <w:t>Pseudomonadota</w:t>
      </w:r>
      <w:r w:rsidRPr="00423C76">
        <w:t xml:space="preserve">, </w:t>
      </w:r>
      <w:proofErr w:type="spellStart"/>
      <w:r w:rsidRPr="00423C76">
        <w:rPr>
          <w:i/>
          <w:iCs/>
        </w:rPr>
        <w:t>Bacillota</w:t>
      </w:r>
      <w:proofErr w:type="spellEnd"/>
      <w:r w:rsidRPr="00423C76">
        <w:t xml:space="preserve">, </w:t>
      </w:r>
      <w:proofErr w:type="spellStart"/>
      <w:r w:rsidRPr="00423C76">
        <w:rPr>
          <w:i/>
          <w:iCs/>
        </w:rPr>
        <w:t>Actinomycetota</w:t>
      </w:r>
      <w:proofErr w:type="spellEnd"/>
      <w:r w:rsidRPr="00423C76">
        <w:t>) and families.</w:t>
      </w:r>
    </w:p>
    <w:p w14:paraId="2D541978" w14:textId="77777777" w:rsidR="00423C76" w:rsidRPr="00423C76" w:rsidRDefault="00423C76" w:rsidP="00423C76">
      <w:pPr>
        <w:numPr>
          <w:ilvl w:val="0"/>
          <w:numId w:val="2"/>
        </w:numPr>
      </w:pPr>
      <w:r w:rsidRPr="00423C76">
        <w:rPr>
          <w:b/>
          <w:bCs/>
        </w:rPr>
        <w:t>Goal of the analysis:</w:t>
      </w:r>
      <w:r w:rsidRPr="00423C76">
        <w:t xml:space="preserve"> Characterize the core gut bacterial architecture of premature infants during early life; calculate absolute alterations in microbial richness and population distances between NEC cases and controls.</w:t>
      </w:r>
    </w:p>
    <w:p w14:paraId="0E61CAD1" w14:textId="78D84E79" w:rsidR="00423C76" w:rsidRPr="00423C76" w:rsidRDefault="00423C76" w:rsidP="00423C76">
      <w:pPr>
        <w:numPr>
          <w:ilvl w:val="0"/>
          <w:numId w:val="2"/>
        </w:numPr>
      </w:pPr>
      <w:r w:rsidRPr="00423C76">
        <w:rPr>
          <w:b/>
          <w:bCs/>
        </w:rPr>
        <w:t>Key metrics or statistical approaches:</w:t>
      </w:r>
      <w:r w:rsidRPr="00423C76">
        <w:t xml:space="preserve"> Observed species richness counts and Shannon alpha diversity index evaluated via Wilcoxon rank-sum tests; Permutational Multivariate Analysis of Variance (PERMANOVA via adonis</w:t>
      </w:r>
      <w:r>
        <w:t xml:space="preserve"> </w:t>
      </w:r>
      <w:r w:rsidRPr="00423C76">
        <w:t>2, 999 permutations) fitting Bray</w:t>
      </w:r>
      <w:r>
        <w:t xml:space="preserve"> </w:t>
      </w:r>
      <w:r w:rsidRPr="00423C76">
        <w:t>Curtis and Jaccard distance matrices to identify grouping variances.</w:t>
      </w:r>
    </w:p>
    <w:p w14:paraId="58AE6C92" w14:textId="77777777" w:rsidR="00423C76" w:rsidRPr="00423C76" w:rsidRDefault="00423C76" w:rsidP="00423C76">
      <w:pPr>
        <w:rPr>
          <w:b/>
          <w:bCs/>
        </w:rPr>
      </w:pPr>
      <w:r w:rsidRPr="00423C76">
        <w:rPr>
          <w:b/>
          <w:bCs/>
        </w:rPr>
        <w:t>Differential Abundance &amp; Pathobiont Mapping</w:t>
      </w:r>
    </w:p>
    <w:p w14:paraId="3688032B" w14:textId="77777777" w:rsidR="00423C76" w:rsidRPr="00423C76" w:rsidRDefault="00423C76" w:rsidP="00423C76">
      <w:pPr>
        <w:numPr>
          <w:ilvl w:val="0"/>
          <w:numId w:val="3"/>
        </w:numPr>
      </w:pPr>
      <w:r w:rsidRPr="00423C76">
        <w:rPr>
          <w:b/>
          <w:bCs/>
        </w:rPr>
        <w:t>Tool(s):</w:t>
      </w:r>
      <w:r w:rsidRPr="00423C76">
        <w:t xml:space="preserve"> </w:t>
      </w:r>
      <w:proofErr w:type="spellStart"/>
      <w:r w:rsidRPr="00423C76">
        <w:t>LinDA</w:t>
      </w:r>
      <w:proofErr w:type="spellEnd"/>
      <w:r w:rsidRPr="00423C76">
        <w:t xml:space="preserve"> and MaAsLin2 packages executing generalized linear regression models for compositional data; Linear Discriminant Analysis (LDA) Effect Size (</w:t>
      </w:r>
      <w:proofErr w:type="spellStart"/>
      <w:r w:rsidRPr="00423C76">
        <w:t>LEfSe</w:t>
      </w:r>
      <w:proofErr w:type="spellEnd"/>
      <w:r w:rsidRPr="00423C76">
        <w:t xml:space="preserve">) via the </w:t>
      </w:r>
      <w:proofErr w:type="spellStart"/>
      <w:r w:rsidRPr="00423C76">
        <w:t>MicrobiomeMarker</w:t>
      </w:r>
      <w:proofErr w:type="spellEnd"/>
      <w:r w:rsidRPr="00423C76">
        <w:t xml:space="preserve"> package.</w:t>
      </w:r>
    </w:p>
    <w:p w14:paraId="1AEE5234" w14:textId="431E81A2" w:rsidR="00423C76" w:rsidRPr="00423C76" w:rsidRDefault="00423C76" w:rsidP="00423C76">
      <w:pPr>
        <w:numPr>
          <w:ilvl w:val="0"/>
          <w:numId w:val="3"/>
        </w:numPr>
      </w:pPr>
      <w:r w:rsidRPr="00423C76">
        <w:rPr>
          <w:b/>
          <w:bCs/>
        </w:rPr>
        <w:t>Database(s):</w:t>
      </w:r>
      <w:r w:rsidRPr="00423C76">
        <w:t xml:space="preserve"> NCBI species</w:t>
      </w:r>
      <w:r>
        <w:t xml:space="preserve"> </w:t>
      </w:r>
      <w:r w:rsidRPr="00423C76">
        <w:t xml:space="preserve">level reference </w:t>
      </w:r>
      <w:proofErr w:type="spellStart"/>
      <w:r w:rsidRPr="00423C76">
        <w:t>catalogs</w:t>
      </w:r>
      <w:proofErr w:type="spellEnd"/>
      <w:r w:rsidRPr="00423C76">
        <w:t>; Krona plotting software for interactive taxonomy mapping.</w:t>
      </w:r>
    </w:p>
    <w:p w14:paraId="43D4569A" w14:textId="723AF978" w:rsidR="00423C76" w:rsidRPr="00423C76" w:rsidRDefault="00423C76" w:rsidP="00423C76">
      <w:pPr>
        <w:numPr>
          <w:ilvl w:val="0"/>
          <w:numId w:val="3"/>
        </w:numPr>
      </w:pPr>
      <w:r w:rsidRPr="00423C76">
        <w:rPr>
          <w:b/>
          <w:bCs/>
        </w:rPr>
        <w:lastRenderedPageBreak/>
        <w:t>Normalization:</w:t>
      </w:r>
      <w:r w:rsidRPr="00423C76">
        <w:t xml:space="preserve"> Multi</w:t>
      </w:r>
      <w:r>
        <w:t xml:space="preserve"> </w:t>
      </w:r>
      <w:r w:rsidRPr="00423C76">
        <w:t>testing corrections using the Benjamini-Hochberg (BH) false discovery rate algorithm with a strict significance threshold of q&lt;0.05.</w:t>
      </w:r>
    </w:p>
    <w:p w14:paraId="440B3740" w14:textId="77777777" w:rsidR="00423C76" w:rsidRPr="00423C76" w:rsidRDefault="00423C76" w:rsidP="00423C76">
      <w:pPr>
        <w:numPr>
          <w:ilvl w:val="0"/>
          <w:numId w:val="3"/>
        </w:numPr>
      </w:pPr>
      <w:r w:rsidRPr="00423C76">
        <w:rPr>
          <w:b/>
          <w:bCs/>
        </w:rPr>
        <w:t>Goal of the analysis:</w:t>
      </w:r>
      <w:r w:rsidRPr="00423C76">
        <w:t xml:space="preserve"> Isolate specific overrepresented microbial biomarkers and pathobionts directly driving gut dysbiosis in infants with active NEC.</w:t>
      </w:r>
    </w:p>
    <w:p w14:paraId="7D535BE7" w14:textId="1035E452" w:rsidR="00423C76" w:rsidRPr="00423C76" w:rsidRDefault="00423C76" w:rsidP="00423C76">
      <w:pPr>
        <w:numPr>
          <w:ilvl w:val="0"/>
          <w:numId w:val="3"/>
        </w:numPr>
      </w:pPr>
      <w:r w:rsidRPr="00423C76">
        <w:rPr>
          <w:b/>
          <w:bCs/>
        </w:rPr>
        <w:t>Key metrics or statistical approaches:</w:t>
      </w:r>
      <w:r w:rsidRPr="00423C76">
        <w:t xml:space="preserve"> Discovery of a massive enrichment of the </w:t>
      </w:r>
      <w:r w:rsidRPr="00423C76">
        <w:rPr>
          <w:i/>
          <w:iCs/>
        </w:rPr>
        <w:t>Enterobacteriaceae</w:t>
      </w:r>
      <w:r w:rsidRPr="00423C76">
        <w:t xml:space="preserve"> family in NEC cases (q&lt;0.05); L</w:t>
      </w:r>
      <w:proofErr w:type="spellStart"/>
      <w:r w:rsidRPr="00423C76">
        <w:t>EfSe</w:t>
      </w:r>
      <w:proofErr w:type="spellEnd"/>
      <w:r w:rsidRPr="00423C76">
        <w:t xml:space="preserve"> scoring (setting a rigid threshold of LDA&gt;4) confirming that </w:t>
      </w:r>
      <w:r w:rsidRPr="00423C76">
        <w:rPr>
          <w:i/>
          <w:iCs/>
        </w:rPr>
        <w:t>Klebsiella pneumoniae</w:t>
      </w:r>
      <w:r w:rsidRPr="00423C76">
        <w:t xml:space="preserve"> (24% of total OTUs in NEC vs. 8% in controls) and </w:t>
      </w:r>
      <w:r w:rsidRPr="00423C76">
        <w:rPr>
          <w:i/>
          <w:iCs/>
        </w:rPr>
        <w:t>Escherichia coli</w:t>
      </w:r>
      <w:r w:rsidRPr="00423C76">
        <w:t xml:space="preserve"> (21% in NEC vs. 13% in controls) act as the dominant pathobionts preceding tissue necrosis.</w:t>
      </w:r>
    </w:p>
    <w:p w14:paraId="01F99BF7" w14:textId="77777777" w:rsidR="00423C76" w:rsidRPr="00423C76" w:rsidRDefault="00423C76" w:rsidP="00423C76">
      <w:pPr>
        <w:rPr>
          <w:b/>
          <w:bCs/>
        </w:rPr>
      </w:pPr>
      <w:r w:rsidRPr="00423C76">
        <w:rPr>
          <w:b/>
          <w:bCs/>
        </w:rPr>
        <w:t>Functional Annotation &amp; Virulence Dissection</w:t>
      </w:r>
    </w:p>
    <w:p w14:paraId="5FE10DB3" w14:textId="77777777" w:rsidR="00423C76" w:rsidRPr="00423C76" w:rsidRDefault="00423C76" w:rsidP="00423C76">
      <w:pPr>
        <w:numPr>
          <w:ilvl w:val="0"/>
          <w:numId w:val="4"/>
        </w:numPr>
      </w:pPr>
      <w:r w:rsidRPr="00423C76">
        <w:rPr>
          <w:b/>
          <w:bCs/>
        </w:rPr>
        <w:t>Tool(s):</w:t>
      </w:r>
      <w:r w:rsidRPr="00423C76">
        <w:t xml:space="preserve"> MEGAHIT (v1.2.9) for </w:t>
      </w:r>
      <w:r w:rsidRPr="00423C76">
        <w:rPr>
          <w:i/>
          <w:iCs/>
        </w:rPr>
        <w:t>de novo</w:t>
      </w:r>
      <w:r w:rsidRPr="00423C76">
        <w:t xml:space="preserve"> metagenomic assembly of unaligned read blocks; Prodigal (v2.6.3) for open reading frame (ORF) and gene prediction; MEGAN 6 for interactive functional classification mapping; STAMP software tool for differential path visualization.</w:t>
      </w:r>
    </w:p>
    <w:p w14:paraId="57D763FF" w14:textId="77777777" w:rsidR="00423C76" w:rsidRPr="00423C76" w:rsidRDefault="00423C76" w:rsidP="00423C76">
      <w:pPr>
        <w:numPr>
          <w:ilvl w:val="0"/>
          <w:numId w:val="4"/>
        </w:numPr>
      </w:pPr>
      <w:r w:rsidRPr="00423C76">
        <w:rPr>
          <w:b/>
          <w:bCs/>
        </w:rPr>
        <w:t>Database(s):</w:t>
      </w:r>
      <w:r w:rsidRPr="00423C76">
        <w:t xml:space="preserve"> SEED protein hierarchy classification database; genomic indicators of Toll-like receptor 4 (TLR4) inflammatory cascade triggers.</w:t>
      </w:r>
    </w:p>
    <w:p w14:paraId="7D24018E" w14:textId="77777777" w:rsidR="00423C76" w:rsidRPr="00423C76" w:rsidRDefault="00423C76" w:rsidP="00423C76">
      <w:pPr>
        <w:numPr>
          <w:ilvl w:val="0"/>
          <w:numId w:val="4"/>
        </w:numPr>
      </w:pPr>
      <w:r w:rsidRPr="00423C76">
        <w:rPr>
          <w:b/>
          <w:bCs/>
        </w:rPr>
        <w:t>Normalization:</w:t>
      </w:r>
      <w:r w:rsidRPr="00423C76">
        <w:t xml:space="preserve"> </w:t>
      </w:r>
      <w:proofErr w:type="spellStart"/>
      <w:r w:rsidRPr="00423C76">
        <w:t>Centered</w:t>
      </w:r>
      <w:proofErr w:type="spellEnd"/>
      <w:r w:rsidRPr="00423C76">
        <w:t xml:space="preserve"> Log-Ratio (CLR) abundance transformations paired with Welch's t-test calculations for differential functional profiling.</w:t>
      </w:r>
    </w:p>
    <w:p w14:paraId="695C8F35" w14:textId="77777777" w:rsidR="00423C76" w:rsidRPr="00423C76" w:rsidRDefault="00423C76" w:rsidP="00423C76">
      <w:pPr>
        <w:numPr>
          <w:ilvl w:val="0"/>
          <w:numId w:val="4"/>
        </w:numPr>
      </w:pPr>
      <w:r w:rsidRPr="00423C76">
        <w:rPr>
          <w:b/>
          <w:bCs/>
        </w:rPr>
        <w:t>Goal of the analysis:</w:t>
      </w:r>
      <w:r w:rsidRPr="00423C76">
        <w:t xml:space="preserve"> Reconstruct functional metabolic pathways encoded within the preterm gut to understand the mechanisms of bacterial-mediated intestinal wall damage.</w:t>
      </w:r>
    </w:p>
    <w:p w14:paraId="1EEED061" w14:textId="77777777" w:rsidR="00423C76" w:rsidRPr="00423C76" w:rsidRDefault="00423C76" w:rsidP="00423C76">
      <w:pPr>
        <w:numPr>
          <w:ilvl w:val="0"/>
          <w:numId w:val="4"/>
        </w:numPr>
      </w:pPr>
      <w:r w:rsidRPr="00423C76">
        <w:rPr>
          <w:b/>
          <w:bCs/>
        </w:rPr>
        <w:t>Key metrics or statistical approaches:</w:t>
      </w:r>
      <w:r w:rsidRPr="00423C76">
        <w:t xml:space="preserve"> Quantitative extraction of enriched pathogenicity pathways in NEC cases, showing a significant increase in type IV secretion systems (T4SS) and conjugative transfer, enterobacterial common lipopolysaccharide (LPS) O-antigen pathways, L-rhamnose utilization clusters, quorum sensing loops, and specialized ABC iron transporters; tracking a corresponding drop in homeostatic folate biosynthesis and lactose utilization genes in the NEC cohort.</w:t>
      </w:r>
    </w:p>
    <w:p w14:paraId="4ABCD0D6" w14:textId="77777777" w:rsidR="00423C76" w:rsidRPr="00423C76" w:rsidRDefault="00423C76" w:rsidP="00423C76">
      <w:pPr>
        <w:rPr>
          <w:b/>
          <w:bCs/>
        </w:rPr>
      </w:pPr>
      <w:r w:rsidRPr="00423C76">
        <w:rPr>
          <w:b/>
          <w:bCs/>
        </w:rPr>
        <w:t>Co-Expression &amp; Covariate Network Analyses</w:t>
      </w:r>
    </w:p>
    <w:p w14:paraId="48A4730A" w14:textId="77777777" w:rsidR="00423C76" w:rsidRPr="00423C76" w:rsidRDefault="00423C76" w:rsidP="00423C76">
      <w:pPr>
        <w:numPr>
          <w:ilvl w:val="0"/>
          <w:numId w:val="5"/>
        </w:numPr>
      </w:pPr>
      <w:r w:rsidRPr="00423C76">
        <w:rPr>
          <w:b/>
          <w:bCs/>
        </w:rPr>
        <w:t>Tool(s):</w:t>
      </w:r>
      <w:r w:rsidRPr="00423C76">
        <w:t xml:space="preserve"> </w:t>
      </w:r>
      <w:proofErr w:type="spellStart"/>
      <w:r w:rsidRPr="00423C76">
        <w:t>NetCoMi</w:t>
      </w:r>
      <w:proofErr w:type="spellEnd"/>
      <w:r w:rsidRPr="00423C76">
        <w:t xml:space="preserve"> (Network Construction and Comparison for Microbiome Data) R package; Pearson's correlation coefficient tools mapping genus-level node dependencies; multi-panel data heatmaps generated using the </w:t>
      </w:r>
      <w:proofErr w:type="spellStart"/>
      <w:r w:rsidRPr="00423C76">
        <w:t>pheatmap</w:t>
      </w:r>
      <w:proofErr w:type="spellEnd"/>
      <w:r w:rsidRPr="00423C76">
        <w:t xml:space="preserve"> package.</w:t>
      </w:r>
    </w:p>
    <w:p w14:paraId="67DE238B" w14:textId="77777777" w:rsidR="00423C76" w:rsidRPr="00423C76" w:rsidRDefault="00423C76" w:rsidP="00423C76">
      <w:pPr>
        <w:numPr>
          <w:ilvl w:val="0"/>
          <w:numId w:val="5"/>
        </w:numPr>
      </w:pPr>
      <w:r w:rsidRPr="00423C76">
        <w:rPr>
          <w:b/>
          <w:bCs/>
        </w:rPr>
        <w:t>Database(s):</w:t>
      </w:r>
      <w:r w:rsidRPr="00423C76">
        <w:t xml:space="preserve"> Patient metadata tracking maternal preeclampsia, Preterm </w:t>
      </w:r>
      <w:proofErr w:type="spellStart"/>
      <w:r w:rsidRPr="00423C76">
        <w:t>Prelabor</w:t>
      </w:r>
      <w:proofErr w:type="spellEnd"/>
      <w:r w:rsidRPr="00423C76">
        <w:t xml:space="preserve"> Rupture of Membranes (PPROM), Lower Segment </w:t>
      </w:r>
      <w:proofErr w:type="spellStart"/>
      <w:r w:rsidRPr="00423C76">
        <w:t>Cesarean</w:t>
      </w:r>
      <w:proofErr w:type="spellEnd"/>
      <w:r w:rsidRPr="00423C76">
        <w:t xml:space="preserve"> Section (LSCS) delivery, and neonatal antibiotic exposure.</w:t>
      </w:r>
    </w:p>
    <w:p w14:paraId="50066E53" w14:textId="77777777" w:rsidR="00423C76" w:rsidRPr="00423C76" w:rsidRDefault="00423C76" w:rsidP="00423C76">
      <w:pPr>
        <w:numPr>
          <w:ilvl w:val="0"/>
          <w:numId w:val="5"/>
        </w:numPr>
      </w:pPr>
      <w:r w:rsidRPr="00423C76">
        <w:rPr>
          <w:b/>
          <w:bCs/>
        </w:rPr>
        <w:t>Normalization:</w:t>
      </w:r>
      <w:r w:rsidRPr="00423C76">
        <w:t xml:space="preserve"> Stratified adjustment for potential baseline clinical confounding variables across matched groups.</w:t>
      </w:r>
    </w:p>
    <w:p w14:paraId="21C35666" w14:textId="77777777" w:rsidR="00423C76" w:rsidRPr="00423C76" w:rsidRDefault="00423C76" w:rsidP="00423C76">
      <w:pPr>
        <w:numPr>
          <w:ilvl w:val="0"/>
          <w:numId w:val="5"/>
        </w:numPr>
      </w:pPr>
      <w:r w:rsidRPr="00423C76">
        <w:rPr>
          <w:b/>
          <w:bCs/>
        </w:rPr>
        <w:t>Goal of the analysis:</w:t>
      </w:r>
      <w:r w:rsidRPr="00423C76">
        <w:t xml:space="preserve"> Define interaction networks between co-occurring microbial genera and determine the extent to which clinical environmental factors (e.g., birth delivery mode) drive community changes relative to disease state.</w:t>
      </w:r>
    </w:p>
    <w:p w14:paraId="5DD63E46" w14:textId="43CED67B" w:rsidR="00423C76" w:rsidRPr="00423C76" w:rsidRDefault="00423C76" w:rsidP="00423C76">
      <w:pPr>
        <w:numPr>
          <w:ilvl w:val="0"/>
          <w:numId w:val="5"/>
        </w:numPr>
      </w:pPr>
      <w:r w:rsidRPr="00423C76">
        <w:rPr>
          <w:b/>
          <w:bCs/>
        </w:rPr>
        <w:t>Key metrics or statistical approaches:</w:t>
      </w:r>
      <w:r w:rsidRPr="00423C76">
        <w:t xml:space="preserve"> Covariate tracking indicating that the mode of delivery explains a larger portion of total beta-diversity variance (R</w:t>
      </w:r>
      <w:r w:rsidRPr="00423C76">
        <w:rPr>
          <w:vertAlign w:val="superscript"/>
        </w:rPr>
        <w:t>2</w:t>
      </w:r>
      <w:r w:rsidRPr="00423C76">
        <w:t xml:space="preserve"> = 0.0809, p = 0.038) than the NEC vs. Control grouping status (R</w:t>
      </w:r>
      <w:r w:rsidRPr="00423C76">
        <w:rPr>
          <w:vertAlign w:val="superscript"/>
        </w:rPr>
        <w:t>2</w:t>
      </w:r>
      <w:r w:rsidRPr="00423C76">
        <w:t xml:space="preserve"> = 0.0565, p = 0.217); genus network maps indicating strong </w:t>
      </w:r>
      <w:r w:rsidRPr="00423C76">
        <w:lastRenderedPageBreak/>
        <w:t>positive correlations between commensal groups (</w:t>
      </w:r>
      <w:proofErr w:type="spellStart"/>
      <w:r w:rsidRPr="00423C76">
        <w:rPr>
          <w:i/>
          <w:iCs/>
        </w:rPr>
        <w:t>Finegoldia</w:t>
      </w:r>
      <w:proofErr w:type="spellEnd"/>
      <w:r w:rsidRPr="00423C76">
        <w:t>–</w:t>
      </w:r>
      <w:proofErr w:type="spellStart"/>
      <w:r w:rsidRPr="00423C76">
        <w:rPr>
          <w:i/>
          <w:iCs/>
        </w:rPr>
        <w:t>Cutibacterium</w:t>
      </w:r>
      <w:proofErr w:type="spellEnd"/>
      <w:r w:rsidRPr="00423C76">
        <w:t>) alongside weaker positive correlation links binding expanding pathobionts (</w:t>
      </w:r>
      <w:r w:rsidRPr="00423C76">
        <w:rPr>
          <w:i/>
          <w:iCs/>
        </w:rPr>
        <w:t>Escherichia</w:t>
      </w:r>
      <w:r w:rsidRPr="00423C76">
        <w:t>–</w:t>
      </w:r>
      <w:r w:rsidRPr="00423C76">
        <w:rPr>
          <w:i/>
          <w:iCs/>
        </w:rPr>
        <w:t>Klebsiella</w:t>
      </w:r>
      <w:r w:rsidRPr="00423C76">
        <w:t>).</w:t>
      </w:r>
    </w:p>
    <w:p w14:paraId="3DF27D8C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5063"/>
    <w:multiLevelType w:val="multilevel"/>
    <w:tmpl w:val="3F5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409C9"/>
    <w:multiLevelType w:val="multilevel"/>
    <w:tmpl w:val="328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7317E"/>
    <w:multiLevelType w:val="multilevel"/>
    <w:tmpl w:val="FB9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54B9F"/>
    <w:multiLevelType w:val="multilevel"/>
    <w:tmpl w:val="C8A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56607"/>
    <w:multiLevelType w:val="multilevel"/>
    <w:tmpl w:val="C2D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32458">
    <w:abstractNumId w:val="1"/>
  </w:num>
  <w:num w:numId="2" w16cid:durableId="493836939">
    <w:abstractNumId w:val="0"/>
  </w:num>
  <w:num w:numId="3" w16cid:durableId="1854220785">
    <w:abstractNumId w:val="2"/>
  </w:num>
  <w:num w:numId="4" w16cid:durableId="1567570559">
    <w:abstractNumId w:val="3"/>
  </w:num>
  <w:num w:numId="5" w16cid:durableId="1323583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76"/>
    <w:rsid w:val="000C3267"/>
    <w:rsid w:val="00227B78"/>
    <w:rsid w:val="00423C76"/>
    <w:rsid w:val="007A7287"/>
    <w:rsid w:val="00850FB5"/>
    <w:rsid w:val="00A3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05B4"/>
  <w15:chartTrackingRefBased/>
  <w15:docId w15:val="{1149DB0E-2163-475B-9A55-5CD1DA0C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2026-06-22T13:15:00Z</dcterms:created>
  <dcterms:modified xsi:type="dcterms:W3CDTF">2026-06-22T13:20:00Z</dcterms:modified>
</cp:coreProperties>
</file>