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6EB4721" w:rsidR="009B0573" w:rsidRPr="00987ACF" w:rsidRDefault="00C12915" w:rsidP="004D04D5">
      <w:pPr>
        <w:pStyle w:val="Title"/>
      </w:pPr>
      <w:r>
        <w:t>Report Generation</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3A513674" w:rsidR="00E34C3C" w:rsidRPr="00987ACF" w:rsidRDefault="00E34C3C" w:rsidP="004D04D5">
      <w:pPr>
        <w:spacing w:after="0"/>
      </w:pPr>
      <w:r w:rsidRPr="00987ACF">
        <w:t xml:space="preserve">Version </w:t>
      </w:r>
      <w:r w:rsidR="00D86709">
        <w:t>3</w:t>
      </w:r>
    </w:p>
    <w:p w14:paraId="5040835C" w14:textId="4A8FDAF1" w:rsidR="00F11A17" w:rsidRPr="00987ACF" w:rsidRDefault="00F11A17" w:rsidP="004D04D5">
      <w:r w:rsidRPr="00987ACF">
        <w:fldChar w:fldCharType="begin"/>
      </w:r>
      <w:r w:rsidRPr="00987ACF">
        <w:instrText xml:space="preserve"> DATE \@ "M/d/yy h:mm am/pm" </w:instrText>
      </w:r>
      <w:r w:rsidRPr="00987ACF">
        <w:fldChar w:fldCharType="separate"/>
      </w:r>
      <w:r w:rsidR="00D86709">
        <w:rPr>
          <w:noProof/>
        </w:rPr>
        <w:t>2/23/26 11:57 AM</w:t>
      </w:r>
      <w:r w:rsidRPr="00987ACF">
        <w:fldChar w:fldCharType="end"/>
      </w:r>
    </w:p>
    <w:p w14:paraId="28DB8399" w14:textId="271009E1" w:rsidR="0011053C" w:rsidRPr="00987ACF" w:rsidRDefault="00935E31" w:rsidP="004D04D5">
      <w:pPr>
        <w:pStyle w:val="Heading1"/>
      </w:pPr>
      <w:r>
        <w:t>Author</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1983FF1B" w:rsidR="009B0573" w:rsidRPr="00987ACF" w:rsidRDefault="00F11A17" w:rsidP="00952AEA">
      <w:r w:rsidRPr="00987ACF">
        <w:t xml:space="preserve">This document describes </w:t>
      </w:r>
      <w:r w:rsidR="00C12915">
        <w:t>the general methodology for the generation of reports called out by various activities within the AVCDL</w:t>
      </w:r>
      <w:r w:rsidR="00B9464D">
        <w:t xml:space="preserve"> </w:t>
      </w:r>
      <w:r w:rsidR="00B9464D" w:rsidRPr="00B9464D">
        <w:rPr>
          <w:b/>
          <w:bCs/>
          <w:color w:val="0070C0"/>
          <w:vertAlign w:val="superscript"/>
        </w:rPr>
        <w:t>[1]</w:t>
      </w:r>
      <w:r w:rsidR="00C12915">
        <w:t>.</w:t>
      </w:r>
    </w:p>
    <w:p w14:paraId="00000006" w14:textId="72EF9674" w:rsidR="009B0573" w:rsidRPr="00987ACF" w:rsidRDefault="00C12915" w:rsidP="004D04D5">
      <w:pPr>
        <w:pStyle w:val="Heading1"/>
      </w:pPr>
      <w:bookmarkStart w:id="1" w:name="_54bgemmh6zb8" w:colFirst="0" w:colLast="0"/>
      <w:bookmarkStart w:id="2" w:name="_olcs7d4b90ea" w:colFirst="0" w:colLast="0"/>
      <w:bookmarkEnd w:id="1"/>
      <w:bookmarkEnd w:id="2"/>
      <w:r>
        <w:t>Audience</w:t>
      </w:r>
    </w:p>
    <w:p w14:paraId="00000007" w14:textId="33E4FEEC" w:rsidR="009B0573" w:rsidRPr="00987ACF" w:rsidRDefault="00E72ED0" w:rsidP="004D04D5">
      <w:pPr>
        <w:rPr>
          <w:color w:val="000000" w:themeColor="text1"/>
        </w:rPr>
      </w:pPr>
      <w:r>
        <w:t>T</w:t>
      </w:r>
      <w:r w:rsidR="00C12915">
        <w:t>he audience of t</w:t>
      </w:r>
      <w:r>
        <w:t xml:space="preserve">his document </w:t>
      </w:r>
      <w:r w:rsidR="00C12915">
        <w:t>are the cybersecurity SMEs responsible for the generation of reports to be stored within the document management system (DMS) as documents of record</w:t>
      </w:r>
      <w:r w:rsidR="00F11A17" w:rsidRPr="00987ACF">
        <w:rPr>
          <w:color w:val="000000" w:themeColor="text1"/>
        </w:rPr>
        <w:t>.</w:t>
      </w:r>
    </w:p>
    <w:p w14:paraId="0028E749" w14:textId="0F5AC33F" w:rsidR="007A2EA1" w:rsidRPr="00987ACF" w:rsidRDefault="007A2EA1" w:rsidP="004D04D5">
      <w:pPr>
        <w:pStyle w:val="Note"/>
      </w:pPr>
      <w:bookmarkStart w:id="3" w:name="_f5diy2ktdyyf" w:colFirst="0" w:colLast="0"/>
      <w:bookmarkEnd w:id="3"/>
      <w:r w:rsidRPr="00987ACF">
        <w:rPr>
          <w:b/>
          <w:bCs/>
          <w:color w:val="0070C0"/>
        </w:rPr>
        <w:t>Note:</w:t>
      </w:r>
      <w:r w:rsidRPr="00987ACF">
        <w:tab/>
      </w:r>
      <w:r w:rsidR="00C12915">
        <w:t>This document is not subject to certification body review</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1F10E8A3" w14:textId="3A2AF564" w:rsidR="00D56FB9" w:rsidRPr="00987ACF" w:rsidRDefault="00D56FB9" w:rsidP="004D04D5">
      <w:pPr>
        <w:rPr>
          <w:sz w:val="40"/>
          <w:szCs w:val="40"/>
        </w:rPr>
      </w:pPr>
      <w:r w:rsidRPr="00987ACF">
        <w:br w:type="page"/>
      </w:r>
    </w:p>
    <w:p w14:paraId="4EA5F884" w14:textId="1675C581" w:rsidR="004B6DD3" w:rsidRPr="00987ACF" w:rsidRDefault="004B6DD3" w:rsidP="004B6DD3">
      <w:pPr>
        <w:pStyle w:val="Heading1"/>
      </w:pPr>
      <w:bookmarkStart w:id="4" w:name="_Model_Creation_Activity"/>
      <w:bookmarkEnd w:id="4"/>
      <w:r>
        <w:lastRenderedPageBreak/>
        <w:t>Introduction</w:t>
      </w:r>
    </w:p>
    <w:p w14:paraId="503BD12B" w14:textId="2B39FA75" w:rsidR="004B6DD3" w:rsidRDefault="004B6DD3" w:rsidP="004B6DD3">
      <w:pPr>
        <w:pStyle w:val="FirstParagraph"/>
      </w:pPr>
      <w:r>
        <w:t>Within the AVCDL many processes have activities which generate reports intended to be used a</w:t>
      </w:r>
      <w:r w:rsidR="00D86709">
        <w:t>s</w:t>
      </w:r>
      <w:r>
        <w:t xml:space="preserve"> documents of record stored in the DMS</w:t>
      </w:r>
      <w:r w:rsidRPr="00987ACF">
        <w:t xml:space="preserve">. </w:t>
      </w:r>
      <w:r>
        <w:t xml:space="preserve">The audience of these reports is not generally the development team, but rather auditors concerned with the appropriateness of actions taken based on the various cybersecurity activities performed. In all cases where reports are generated, the core information used to create them is destined for downstream handling within the threat prioritization process </w:t>
      </w:r>
      <w:r w:rsidR="00B9464D" w:rsidRPr="00B9464D">
        <w:rPr>
          <w:b/>
          <w:bCs/>
          <w:color w:val="0070C0"/>
          <w:vertAlign w:val="superscript"/>
        </w:rPr>
        <w:t>[8]</w:t>
      </w:r>
      <w:r w:rsidR="00B9464D">
        <w:t xml:space="preserve"> </w:t>
      </w:r>
      <w:r>
        <w:t>and eventually the issue tracking system.</w:t>
      </w:r>
    </w:p>
    <w:p w14:paraId="66B528FD" w14:textId="6B43F9CF" w:rsidR="004B6DD3" w:rsidRDefault="004B6DD3" w:rsidP="004B6DD3">
      <w:pPr>
        <w:pStyle w:val="BodyText"/>
      </w:pPr>
      <w:r>
        <w:t>The distinction here of the target audience is important because each will have different concerns. Auditors are more concerned with the overall handling of traceability (long time horizon), whereas developers are focused on the specific issues (short time horizon).</w:t>
      </w:r>
      <w:r w:rsidR="00C63E1F">
        <w:t xml:space="preserve"> As such, the focus of the generated report is human-readability.</w:t>
      </w:r>
    </w:p>
    <w:p w14:paraId="6234AF05" w14:textId="1AFB5D7B" w:rsidR="00A4367A" w:rsidRPr="00987ACF" w:rsidRDefault="00A4367A" w:rsidP="00A4367A">
      <w:pPr>
        <w:pStyle w:val="Heading1"/>
      </w:pPr>
      <w:r>
        <w:t xml:space="preserve">Note on the use of URIs </w:t>
      </w:r>
    </w:p>
    <w:p w14:paraId="1A2B3068" w14:textId="7871C24A" w:rsidR="00A4367A" w:rsidRDefault="00A4367A" w:rsidP="00A4367A">
      <w:pPr>
        <w:pStyle w:val="FirstParagraph"/>
      </w:pPr>
      <w:r>
        <w:t>Within the context of this document, when a URI is specified the expectation is that it provide an identifier capable of locating the resource in both space and time. This is to say that there should be no ambiguity as to which of a possible number of revisions of the resource is being referenced.</w:t>
      </w:r>
    </w:p>
    <w:p w14:paraId="4EDD4C29" w14:textId="429635AD" w:rsidR="00A4367A" w:rsidRPr="00A4367A" w:rsidRDefault="00A4367A" w:rsidP="00A4367A">
      <w:pPr>
        <w:pStyle w:val="BodyText"/>
      </w:pPr>
      <w:r>
        <w:t>By way of example, it is insufficient to provide a link to a code branch as that is a moving target. A commit hash, tag, or release would be required in order to establish an accurate point in time.</w:t>
      </w:r>
    </w:p>
    <w:p w14:paraId="1AA25F74" w14:textId="77777777" w:rsidR="00A4367A" w:rsidRPr="004B6DD3" w:rsidRDefault="00A4367A" w:rsidP="004B6DD3">
      <w:pPr>
        <w:pStyle w:val="BodyText"/>
      </w:pPr>
    </w:p>
    <w:p w14:paraId="682A5A25" w14:textId="77777777" w:rsidR="004B6DD3" w:rsidRDefault="004B6DD3">
      <w:pPr>
        <w:spacing w:after="0"/>
        <w:jc w:val="left"/>
        <w:rPr>
          <w:sz w:val="40"/>
          <w:szCs w:val="40"/>
        </w:rPr>
      </w:pPr>
      <w:r>
        <w:br w:type="page"/>
      </w:r>
    </w:p>
    <w:p w14:paraId="0000000A" w14:textId="21D44A12" w:rsidR="009B0573" w:rsidRPr="00987ACF" w:rsidRDefault="00BF24A6" w:rsidP="004D04D5">
      <w:pPr>
        <w:pStyle w:val="Heading1"/>
      </w:pPr>
      <w:r>
        <w:lastRenderedPageBreak/>
        <w:t>Report Generation</w:t>
      </w:r>
      <w:r w:rsidR="002B0674" w:rsidRPr="00987ACF">
        <w:t xml:space="preserve"> </w:t>
      </w:r>
      <w:r w:rsidR="000D0B98" w:rsidRPr="00987ACF">
        <w:t>Activity</w:t>
      </w:r>
    </w:p>
    <w:p w14:paraId="7B47E0A7" w14:textId="4B8FC05B" w:rsidR="002B0674" w:rsidRPr="00987ACF" w:rsidRDefault="000D0B98" w:rsidP="004D04D5">
      <w:pPr>
        <w:pStyle w:val="FirstParagraph"/>
      </w:pPr>
      <w:r w:rsidRPr="00987ACF">
        <w:t xml:space="preserve">The </w:t>
      </w:r>
      <w:r w:rsidR="00BF24A6">
        <w:t xml:space="preserve">general </w:t>
      </w:r>
      <w:r w:rsidR="002819FA" w:rsidRPr="00987ACF">
        <w:t xml:space="preserve">workflow diagram for the </w:t>
      </w:r>
      <w:r w:rsidR="00BF24A6">
        <w:rPr>
          <w:b/>
          <w:bCs/>
        </w:rPr>
        <w:t>report generation</w:t>
      </w:r>
      <w:r w:rsidR="002819FA" w:rsidRPr="00987ACF">
        <w:t xml:space="preserve"> activity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4D61D17A">
            <wp:extent cx="3788254" cy="4390930"/>
            <wp:effectExtent l="0" t="0" r="0" b="381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842825" cy="4454183"/>
                    </a:xfrm>
                    <a:prstGeom prst="rect">
                      <a:avLst/>
                    </a:prstGeom>
                  </pic:spPr>
                </pic:pic>
              </a:graphicData>
            </a:graphic>
          </wp:inline>
        </w:drawing>
      </w:r>
    </w:p>
    <w:p w14:paraId="7AE0C502" w14:textId="688776FE" w:rsidR="004314D6" w:rsidRDefault="004314D6" w:rsidP="004314D6">
      <w:r w:rsidRPr="00723E66">
        <w:t>The</w:t>
      </w:r>
      <w:r w:rsidR="00C63E1F">
        <w:t xml:space="preserve"> various input sources (</w:t>
      </w:r>
      <w:r w:rsidR="00C63E1F">
        <w:rPr>
          <w:b/>
          <w:bCs/>
        </w:rPr>
        <w:t>D</w:t>
      </w:r>
      <w:r w:rsidR="00C63E1F" w:rsidRPr="00C63E1F">
        <w:rPr>
          <w:b/>
          <w:bCs/>
        </w:rPr>
        <w:t>atabase</w:t>
      </w:r>
      <w:r w:rsidR="00C63E1F">
        <w:t xml:space="preserve"> or </w:t>
      </w:r>
      <w:r w:rsidR="00C63E1F" w:rsidRPr="00C63E1F">
        <w:t>unstructured</w:t>
      </w:r>
      <w:r w:rsidR="00C63E1F" w:rsidRPr="00C63E1F">
        <w:rPr>
          <w:b/>
          <w:bCs/>
        </w:rPr>
        <w:t xml:space="preserve"> </w:t>
      </w:r>
      <w:r w:rsidR="00C63E1F">
        <w:rPr>
          <w:b/>
          <w:bCs/>
        </w:rPr>
        <w:t>D</w:t>
      </w:r>
      <w:r w:rsidR="00C63E1F" w:rsidRPr="00C63E1F">
        <w:rPr>
          <w:b/>
          <w:bCs/>
        </w:rPr>
        <w:t xml:space="preserve">ata </w:t>
      </w:r>
      <w:r w:rsidR="00C63E1F" w:rsidRPr="00C63E1F">
        <w:t>files</w:t>
      </w:r>
      <w:r w:rsidR="00C63E1F">
        <w:t xml:space="preserve">) are organized and formatted into a human-readable form. This may be done either in an automated manner using a </w:t>
      </w:r>
      <w:r w:rsidR="00C63E1F">
        <w:rPr>
          <w:b/>
          <w:bCs/>
        </w:rPr>
        <w:t>G</w:t>
      </w:r>
      <w:r w:rsidR="00C63E1F" w:rsidRPr="00C63E1F">
        <w:rPr>
          <w:b/>
          <w:bCs/>
        </w:rPr>
        <w:t xml:space="preserve">enerate </w:t>
      </w:r>
      <w:r w:rsidR="00C63E1F">
        <w:rPr>
          <w:b/>
          <w:bCs/>
        </w:rPr>
        <w:t>R</w:t>
      </w:r>
      <w:r w:rsidR="00C63E1F" w:rsidRPr="00C63E1F">
        <w:rPr>
          <w:b/>
          <w:bCs/>
        </w:rPr>
        <w:t>eport</w:t>
      </w:r>
      <w:r w:rsidR="00C63E1F">
        <w:t xml:space="preserve"> process or may be performed manually by the</w:t>
      </w:r>
      <w:r w:rsidRPr="00723E66">
        <w:t xml:space="preserve"> </w:t>
      </w:r>
      <w:r w:rsidRPr="00EA6FCF">
        <w:rPr>
          <w:b/>
          <w:bCs/>
        </w:rPr>
        <w:t>Security SME</w:t>
      </w:r>
      <w:r w:rsidRPr="00723E66">
        <w:t>.</w:t>
      </w:r>
      <w:r>
        <w:t xml:space="preserve"> </w:t>
      </w:r>
      <w:r w:rsidR="00C63E1F">
        <w:t>The</w:t>
      </w:r>
      <w:r w:rsidRPr="00810051">
        <w:t xml:space="preserve"> </w:t>
      </w:r>
      <w:r>
        <w:rPr>
          <w:b/>
          <w:bCs/>
        </w:rPr>
        <w:t>R</w:t>
      </w:r>
      <w:r w:rsidRPr="00813B51">
        <w:rPr>
          <w:b/>
          <w:bCs/>
        </w:rPr>
        <w:t>eport</w:t>
      </w:r>
      <w:r>
        <w:t xml:space="preserve"> </w:t>
      </w:r>
      <w:r w:rsidR="00C63E1F">
        <w:t xml:space="preserve">is delivered to the </w:t>
      </w:r>
      <w:r w:rsidR="00C63E1F" w:rsidRPr="00C63E1F">
        <w:rPr>
          <w:b/>
          <w:bCs/>
        </w:rPr>
        <w:t>DMS</w:t>
      </w:r>
      <w:r>
        <w:t>.</w:t>
      </w:r>
    </w:p>
    <w:p w14:paraId="66759235" w14:textId="7D2ABB0C" w:rsidR="00E80939" w:rsidRPr="0006204F" w:rsidRDefault="00E80939" w:rsidP="00E80939">
      <w:pPr>
        <w:pStyle w:val="Note"/>
      </w:pPr>
      <w:r w:rsidRPr="00D26188">
        <w:rPr>
          <w:b/>
          <w:bCs/>
          <w:color w:val="0070C0"/>
        </w:rPr>
        <w:t>Note:</w:t>
      </w:r>
      <w:r>
        <w:tab/>
      </w:r>
      <w:r w:rsidRPr="00E80939">
        <w:t xml:space="preserve">The recommended form of the </w:t>
      </w:r>
      <w:r w:rsidRPr="00E80939">
        <w:rPr>
          <w:b/>
          <w:bCs/>
        </w:rPr>
        <w:t>Identified Issues</w:t>
      </w:r>
      <w:r w:rsidRPr="00E80939">
        <w:t xml:space="preserve"> artifact is JSON-encoded Static Analysis Results Interchange Format (</w:t>
      </w:r>
      <w:r w:rsidRPr="00E80939">
        <w:rPr>
          <w:b/>
          <w:bCs/>
        </w:rPr>
        <w:t>SARIF</w:t>
      </w:r>
      <w:r w:rsidRPr="00E80939">
        <w:t xml:space="preserve">). This document assumes SARIF version 2.1.0 </w:t>
      </w:r>
      <w:r w:rsidRPr="00E80939">
        <w:rPr>
          <w:b/>
          <w:bCs/>
          <w:color w:val="0070C0"/>
          <w:vertAlign w:val="superscript"/>
        </w:rPr>
        <w:t>[</w:t>
      </w:r>
      <w:r w:rsidR="00E74325">
        <w:rPr>
          <w:b/>
          <w:bCs/>
          <w:color w:val="0070C0"/>
          <w:vertAlign w:val="superscript"/>
        </w:rPr>
        <w:t>7</w:t>
      </w:r>
      <w:r w:rsidRPr="00E80939">
        <w:rPr>
          <w:b/>
          <w:bCs/>
          <w:color w:val="0070C0"/>
          <w:vertAlign w:val="superscript"/>
        </w:rPr>
        <w:t>]</w:t>
      </w:r>
      <w:r w:rsidRPr="00E80939">
        <w:t xml:space="preserve"> or later</w:t>
      </w:r>
      <w:r>
        <w:t>.</w:t>
      </w:r>
    </w:p>
    <w:p w14:paraId="566C736C" w14:textId="77777777" w:rsidR="00556F8F" w:rsidRPr="00987ACF" w:rsidRDefault="00556F8F" w:rsidP="004D04D5">
      <w:pPr>
        <w:rPr>
          <w:sz w:val="40"/>
          <w:szCs w:val="40"/>
        </w:rPr>
      </w:pPr>
      <w:r w:rsidRPr="00987ACF">
        <w:br w:type="page"/>
      </w:r>
    </w:p>
    <w:p w14:paraId="514180C1" w14:textId="5560A487" w:rsidR="00FB7383" w:rsidRDefault="00D67615" w:rsidP="004D04D5">
      <w:pPr>
        <w:pStyle w:val="Heading1"/>
      </w:pPr>
      <w:r>
        <w:lastRenderedPageBreak/>
        <w:t>Report Composition</w:t>
      </w:r>
    </w:p>
    <w:p w14:paraId="79308BE5" w14:textId="23BBA4C4" w:rsidR="000228E3" w:rsidRDefault="000228E3" w:rsidP="004D04D5">
      <w:r>
        <w:t>Every report is presumed to contain a preamble of report type (</w:t>
      </w:r>
      <w:r w:rsidRPr="000228E3">
        <w:rPr>
          <w:b/>
          <w:bCs/>
        </w:rPr>
        <w:t>static analysis</w:t>
      </w:r>
      <w:r w:rsidR="00B9464D">
        <w:rPr>
          <w:b/>
          <w:bCs/>
        </w:rPr>
        <w:t xml:space="preserve"> </w:t>
      </w:r>
      <w:r w:rsidR="00B9464D" w:rsidRPr="00B9464D">
        <w:rPr>
          <w:b/>
          <w:bCs/>
          <w:color w:val="0070C0"/>
          <w:vertAlign w:val="superscript"/>
        </w:rPr>
        <w:t>[</w:t>
      </w:r>
      <w:r w:rsidR="00B9464D">
        <w:rPr>
          <w:b/>
          <w:bCs/>
          <w:color w:val="0070C0"/>
          <w:vertAlign w:val="superscript"/>
        </w:rPr>
        <w:t>2</w:t>
      </w:r>
      <w:r w:rsidR="00B9464D" w:rsidRPr="00B9464D">
        <w:rPr>
          <w:b/>
          <w:bCs/>
          <w:color w:val="0070C0"/>
          <w:vertAlign w:val="superscript"/>
        </w:rPr>
        <w:t>]</w:t>
      </w:r>
      <w:r>
        <w:t xml:space="preserve">, </w:t>
      </w:r>
      <w:r w:rsidRPr="000228E3">
        <w:rPr>
          <w:b/>
          <w:bCs/>
        </w:rPr>
        <w:t>dynamic analysis</w:t>
      </w:r>
      <w:r w:rsidR="00B9464D">
        <w:rPr>
          <w:b/>
          <w:bCs/>
        </w:rPr>
        <w:t xml:space="preserve"> </w:t>
      </w:r>
      <w:r w:rsidR="00B9464D" w:rsidRPr="00B9464D">
        <w:rPr>
          <w:b/>
          <w:bCs/>
          <w:color w:val="0070C0"/>
          <w:vertAlign w:val="superscript"/>
        </w:rPr>
        <w:t>[3]</w:t>
      </w:r>
      <w:r>
        <w:t xml:space="preserve">, …), preparer (security SME / automation), and date of generation. </w:t>
      </w:r>
    </w:p>
    <w:p w14:paraId="540B9F01" w14:textId="44340DB4" w:rsidR="000228E3" w:rsidRPr="0006204F" w:rsidRDefault="000228E3" w:rsidP="000228E3">
      <w:pPr>
        <w:pStyle w:val="Note"/>
      </w:pPr>
      <w:r w:rsidRPr="00D26188">
        <w:rPr>
          <w:b/>
          <w:bCs/>
          <w:color w:val="0070C0"/>
        </w:rPr>
        <w:t>Note:</w:t>
      </w:r>
      <w:r>
        <w:tab/>
        <w:t>Organizational classifications (</w:t>
      </w:r>
      <w:r w:rsidRPr="000228E3">
        <w:rPr>
          <w:b/>
          <w:bCs/>
        </w:rPr>
        <w:t>internal use only</w:t>
      </w:r>
      <w:r>
        <w:t xml:space="preserve">, </w:t>
      </w:r>
      <w:r w:rsidRPr="000228E3">
        <w:rPr>
          <w:b/>
          <w:bCs/>
        </w:rPr>
        <w:t>company confidential</w:t>
      </w:r>
      <w:r>
        <w:t>, …) may be included as appropriate.</w:t>
      </w:r>
    </w:p>
    <w:p w14:paraId="66487AB2" w14:textId="22E96740" w:rsidR="00801EBD" w:rsidRDefault="004A45E8" w:rsidP="004D04D5">
      <w:r>
        <w:t>T</w:t>
      </w:r>
      <w:r w:rsidR="00801EBD">
        <w:t>he</w:t>
      </w:r>
      <w:r w:rsidR="000228E3">
        <w:t xml:space="preserve"> core of the report </w:t>
      </w:r>
      <w:r>
        <w:t>is comprised of</w:t>
      </w:r>
      <w:r w:rsidR="000228E3">
        <w:t xml:space="preserve"> </w:t>
      </w:r>
      <w:r>
        <w:t xml:space="preserve">one or more run, which are composed </w:t>
      </w:r>
      <w:r w:rsidR="000228E3">
        <w:t>as follows</w:t>
      </w:r>
      <w:r w:rsidR="00801EBD">
        <w:t>:</w:t>
      </w:r>
    </w:p>
    <w:p w14:paraId="20F10BCE" w14:textId="7BA59CF4" w:rsidR="00D67615" w:rsidRDefault="00D67615" w:rsidP="009B6D2E">
      <w:pPr>
        <w:spacing w:line="240" w:lineRule="auto"/>
        <w:jc w:val="center"/>
      </w:pPr>
      <w:r>
        <w:rPr>
          <w:noProof/>
        </w:rPr>
        <w:drawing>
          <wp:inline distT="0" distB="0" distL="0" distR="0" wp14:anchorId="1B8326AB" wp14:editId="6688CC1A">
            <wp:extent cx="5782138" cy="5039780"/>
            <wp:effectExtent l="0" t="0" r="0" b="2540"/>
            <wp:docPr id="34977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75791" name="Picture 1"/>
                    <pic:cNvPicPr/>
                  </pic:nvPicPr>
                  <pic:blipFill>
                    <a:blip r:embed="rId9"/>
                    <a:stretch>
                      <a:fillRect/>
                    </a:stretch>
                  </pic:blipFill>
                  <pic:spPr>
                    <a:xfrm>
                      <a:off x="0" y="0"/>
                      <a:ext cx="5782138" cy="5039780"/>
                    </a:xfrm>
                    <a:prstGeom prst="rect">
                      <a:avLst/>
                    </a:prstGeom>
                  </pic:spPr>
                </pic:pic>
              </a:graphicData>
            </a:graphic>
          </wp:inline>
        </w:drawing>
      </w:r>
    </w:p>
    <w:p w14:paraId="11B8B99D" w14:textId="14E8533B" w:rsidR="000228E3" w:rsidRDefault="00D67615" w:rsidP="004A45E8">
      <w:pPr>
        <w:pStyle w:val="Note"/>
        <w:rPr>
          <w:sz w:val="32"/>
          <w:szCs w:val="32"/>
        </w:rPr>
      </w:pPr>
      <w:r w:rsidRPr="00D26188">
        <w:rPr>
          <w:b/>
          <w:bCs/>
          <w:color w:val="0070C0"/>
        </w:rPr>
        <w:t>Note:</w:t>
      </w:r>
      <w:r>
        <w:tab/>
        <w:t xml:space="preserve">This composition will work for the majority of cybersecurity activity reports. Penetration testing requires a more </w:t>
      </w:r>
      <w:r w:rsidR="000D5927">
        <w:t xml:space="preserve">elaborate report. This is covered in the  </w:t>
      </w:r>
      <w:r w:rsidR="000D5927" w:rsidRPr="000D5927">
        <w:rPr>
          <w:b/>
          <w:bCs/>
        </w:rPr>
        <w:t xml:space="preserve">Penetration Testing Report </w:t>
      </w:r>
      <w:r w:rsidR="000D5927" w:rsidRPr="000D5927">
        <w:rPr>
          <w:b/>
          <w:bCs/>
          <w:color w:val="0070C0"/>
          <w:vertAlign w:val="superscript"/>
        </w:rPr>
        <w:t>[</w:t>
      </w:r>
      <w:r w:rsidR="0081649B">
        <w:rPr>
          <w:b/>
          <w:bCs/>
          <w:color w:val="0070C0"/>
          <w:vertAlign w:val="superscript"/>
        </w:rPr>
        <w:t>4</w:t>
      </w:r>
      <w:r w:rsidR="000D5927" w:rsidRPr="000D5927">
        <w:rPr>
          <w:b/>
          <w:bCs/>
          <w:color w:val="0070C0"/>
          <w:vertAlign w:val="superscript"/>
        </w:rPr>
        <w:t>]</w:t>
      </w:r>
      <w:r w:rsidR="000D5927">
        <w:t>.</w:t>
      </w:r>
      <w:r w:rsidR="000228E3">
        <w:br w:type="page"/>
      </w:r>
    </w:p>
    <w:p w14:paraId="6CF1DE38" w14:textId="2948712C" w:rsidR="00150601" w:rsidRPr="00150601" w:rsidRDefault="004A45E8" w:rsidP="00150601">
      <w:pPr>
        <w:pStyle w:val="Heading2"/>
      </w:pPr>
      <w:r>
        <w:lastRenderedPageBreak/>
        <w:t>Tool</w:t>
      </w:r>
    </w:p>
    <w:p w14:paraId="68157184" w14:textId="34313C2E" w:rsidR="00150601" w:rsidRDefault="00974B07" w:rsidP="004D04D5">
      <w:r>
        <w:t xml:space="preserve">This </w:t>
      </w:r>
      <w:r w:rsidR="004A45E8">
        <w:t>section</w:t>
      </w:r>
      <w:r w:rsidR="0081649B">
        <w:t xml:space="preserve"> covers the tool used to perform the </w:t>
      </w:r>
      <w:r w:rsidR="000F04B5">
        <w:t>activity</w:t>
      </w:r>
      <w:r w:rsidR="0081649B">
        <w:t>. This</w:t>
      </w:r>
      <w:r w:rsidR="004A45E8">
        <w:t xml:space="preserve"> is critical from the standpoint of reproducibility of results</w:t>
      </w:r>
      <w:r>
        <w:t>.</w:t>
      </w:r>
    </w:p>
    <w:p w14:paraId="28E06E38" w14:textId="1A4F2BB8" w:rsidR="000F04B5" w:rsidRDefault="000F04B5" w:rsidP="000F04B5">
      <w:pPr>
        <w:pStyle w:val="Note"/>
      </w:pPr>
      <w:r w:rsidRPr="00D26188">
        <w:rPr>
          <w:b/>
          <w:bCs/>
          <w:color w:val="0070C0"/>
        </w:rPr>
        <w:t>Note:</w:t>
      </w:r>
      <w:r>
        <w:tab/>
        <w:t>When the activity does not involve software tooling, this should be noted.</w:t>
      </w:r>
    </w:p>
    <w:p w14:paraId="19305972" w14:textId="5A484EBE" w:rsidR="0081649B" w:rsidRDefault="0081649B" w:rsidP="0081649B">
      <w:pPr>
        <w:pStyle w:val="Note"/>
      </w:pPr>
      <w:r w:rsidRPr="00D26188">
        <w:rPr>
          <w:b/>
          <w:bCs/>
          <w:color w:val="0070C0"/>
        </w:rPr>
        <w:t>Note:</w:t>
      </w:r>
      <w:r>
        <w:tab/>
        <w:t xml:space="preserve">Aside from the rules, all information regarding the tool should have been recorded as covered in the </w:t>
      </w:r>
      <w:r>
        <w:rPr>
          <w:b/>
          <w:bCs/>
        </w:rPr>
        <w:t>List of Approved Tools and Components</w:t>
      </w:r>
      <w:r w:rsidRPr="000D5927">
        <w:rPr>
          <w:b/>
          <w:bCs/>
        </w:rPr>
        <w:t xml:space="preserve"> </w:t>
      </w:r>
      <w:r w:rsidRPr="000D5927">
        <w:rPr>
          <w:b/>
          <w:bCs/>
          <w:color w:val="0070C0"/>
          <w:vertAlign w:val="superscript"/>
        </w:rPr>
        <w:t>[</w:t>
      </w:r>
      <w:r>
        <w:rPr>
          <w:b/>
          <w:bCs/>
          <w:color w:val="0070C0"/>
          <w:vertAlign w:val="superscript"/>
        </w:rPr>
        <w:t>5</w:t>
      </w:r>
      <w:r w:rsidRPr="000D5927">
        <w:rPr>
          <w:b/>
          <w:bCs/>
          <w:color w:val="0070C0"/>
          <w:vertAlign w:val="superscript"/>
        </w:rPr>
        <w:t>]</w:t>
      </w:r>
      <w:r>
        <w:t xml:space="preserve"> secondary document. A list of information that may captured for the tool is described in the </w:t>
      </w:r>
      <w:r w:rsidRPr="0081649B">
        <w:rPr>
          <w:b/>
          <w:bCs/>
        </w:rPr>
        <w:t>Open Source Use Track</w:t>
      </w:r>
      <w:r>
        <w:rPr>
          <w:b/>
          <w:bCs/>
        </w:rPr>
        <w:t>ing</w:t>
      </w:r>
      <w:r>
        <w:t xml:space="preserve"> section of the </w:t>
      </w:r>
      <w:r w:rsidRPr="0081649B">
        <w:rPr>
          <w:b/>
          <w:bCs/>
        </w:rPr>
        <w:t xml:space="preserve">Understanding Open Source in an AVCDL Context </w:t>
      </w:r>
      <w:r w:rsidRPr="0081649B">
        <w:rPr>
          <w:b/>
          <w:bCs/>
          <w:color w:val="0070C0"/>
          <w:vertAlign w:val="superscript"/>
        </w:rPr>
        <w:t>[6]</w:t>
      </w:r>
      <w:r>
        <w:t xml:space="preserve"> elaboration document.</w:t>
      </w:r>
    </w:p>
    <w:p w14:paraId="4471D66D" w14:textId="11586BBD" w:rsidR="0081649B" w:rsidRPr="004A45E8" w:rsidRDefault="0081649B" w:rsidP="0081649B">
      <w:pPr>
        <w:pStyle w:val="Heading3"/>
        <w:rPr>
          <w:color w:val="0070C0"/>
        </w:rPr>
      </w:pPr>
      <w:r>
        <w:rPr>
          <w:color w:val="0070C0"/>
        </w:rPr>
        <w:t>Name</w:t>
      </w:r>
    </w:p>
    <w:p w14:paraId="253384FA" w14:textId="25FF902C" w:rsidR="004A45E8" w:rsidRDefault="00E74325" w:rsidP="004D04D5">
      <w:r>
        <w:t>Software name</w:t>
      </w:r>
    </w:p>
    <w:p w14:paraId="4C2467F7" w14:textId="1F11104A" w:rsidR="004A45E8" w:rsidRPr="004A45E8" w:rsidRDefault="004A45E8" w:rsidP="004A45E8">
      <w:pPr>
        <w:pStyle w:val="Heading3"/>
        <w:rPr>
          <w:color w:val="0070C0"/>
        </w:rPr>
      </w:pPr>
      <w:r>
        <w:rPr>
          <w:color w:val="0070C0"/>
        </w:rPr>
        <w:t>Version</w:t>
      </w:r>
    </w:p>
    <w:p w14:paraId="2BB557EE" w14:textId="54D57925" w:rsidR="004A45E8" w:rsidRDefault="00E74325" w:rsidP="004A45E8">
      <w:r>
        <w:t>This should be as precise as possible to avoid issues of reproducibility.</w:t>
      </w:r>
    </w:p>
    <w:p w14:paraId="323BC738" w14:textId="382FD4F7" w:rsidR="00E74325" w:rsidRDefault="00E74325" w:rsidP="00E74325">
      <w:pPr>
        <w:ind w:left="810" w:hanging="810"/>
      </w:pPr>
      <w:r w:rsidRPr="00D26188">
        <w:rPr>
          <w:b/>
          <w:bCs/>
          <w:color w:val="0070C0"/>
        </w:rPr>
        <w:t>Note:</w:t>
      </w:r>
      <w:r>
        <w:tab/>
        <w:t>When required the release date of the tool should be included.</w:t>
      </w:r>
    </w:p>
    <w:p w14:paraId="66FB2032" w14:textId="07F74B1D" w:rsidR="004A45E8" w:rsidRPr="004A45E8" w:rsidRDefault="004A45E8" w:rsidP="004A45E8">
      <w:pPr>
        <w:pStyle w:val="Heading3"/>
        <w:rPr>
          <w:color w:val="0070C0"/>
        </w:rPr>
      </w:pPr>
      <w:r>
        <w:rPr>
          <w:color w:val="0070C0"/>
        </w:rPr>
        <w:t>Documentation URI</w:t>
      </w:r>
    </w:p>
    <w:p w14:paraId="4B0F1D18" w14:textId="1F4267B3" w:rsidR="004A45E8" w:rsidRDefault="00E74325" w:rsidP="004A45E8">
      <w:r>
        <w:t>Location of the documentation corresponding to the specific version of the tool.</w:t>
      </w:r>
    </w:p>
    <w:p w14:paraId="2E7C8D5B" w14:textId="5CB6EAFE" w:rsidR="00E74325" w:rsidRDefault="00E74325" w:rsidP="00E74325">
      <w:pPr>
        <w:ind w:left="810" w:hanging="810"/>
      </w:pPr>
      <w:r w:rsidRPr="00D26188">
        <w:rPr>
          <w:b/>
          <w:bCs/>
          <w:color w:val="0070C0"/>
        </w:rPr>
        <w:t>Note:</w:t>
      </w:r>
      <w:r>
        <w:tab/>
        <w:t>It is recommended that the organization keep archive copies of tool documentation in order to avoid legacy software issues.</w:t>
      </w:r>
    </w:p>
    <w:p w14:paraId="1DDBF005" w14:textId="59CCF1A0" w:rsidR="004A45E8" w:rsidRPr="004A45E8" w:rsidRDefault="004A45E8" w:rsidP="004A45E8">
      <w:pPr>
        <w:pStyle w:val="Heading3"/>
        <w:rPr>
          <w:color w:val="0070C0"/>
        </w:rPr>
      </w:pPr>
      <w:r>
        <w:rPr>
          <w:color w:val="0070C0"/>
        </w:rPr>
        <w:t>Rules</w:t>
      </w:r>
    </w:p>
    <w:p w14:paraId="1993C28A" w14:textId="36CA9AEC" w:rsidR="004A45E8" w:rsidRDefault="00E74325" w:rsidP="004A45E8">
      <w:r>
        <w:t>This is the list of rules applied to the element by the tool.</w:t>
      </w:r>
    </w:p>
    <w:p w14:paraId="7ED7CB27" w14:textId="77777777" w:rsidR="004A45E8" w:rsidRDefault="004A45E8">
      <w:pPr>
        <w:spacing w:after="0"/>
        <w:jc w:val="left"/>
        <w:rPr>
          <w:sz w:val="32"/>
          <w:szCs w:val="32"/>
        </w:rPr>
      </w:pPr>
      <w:r>
        <w:br w:type="page"/>
      </w:r>
    </w:p>
    <w:p w14:paraId="62B20D4A" w14:textId="483A78BA" w:rsidR="004A45E8" w:rsidRPr="00150601" w:rsidRDefault="004A45E8" w:rsidP="004A45E8">
      <w:pPr>
        <w:pStyle w:val="Heading2"/>
      </w:pPr>
      <w:r>
        <w:lastRenderedPageBreak/>
        <w:t>Rules</w:t>
      </w:r>
    </w:p>
    <w:p w14:paraId="63B4C7B1" w14:textId="14B05123" w:rsidR="004A45E8" w:rsidRDefault="004A45E8" w:rsidP="004A45E8">
      <w:r>
        <w:t xml:space="preserve">This section </w:t>
      </w:r>
      <w:r w:rsidR="006D4731">
        <w:t>covers the rules applied by the tool to the element under consideration</w:t>
      </w:r>
      <w:r>
        <w:t>.</w:t>
      </w:r>
    </w:p>
    <w:p w14:paraId="295DBC26" w14:textId="48C4A05A" w:rsidR="004A45E8" w:rsidRPr="004A45E8" w:rsidRDefault="004A45E8" w:rsidP="004A45E8">
      <w:pPr>
        <w:pStyle w:val="Heading3"/>
        <w:rPr>
          <w:color w:val="0070C0"/>
        </w:rPr>
      </w:pPr>
      <w:r>
        <w:rPr>
          <w:color w:val="0070C0"/>
        </w:rPr>
        <w:t>ID</w:t>
      </w:r>
    </w:p>
    <w:p w14:paraId="0C07D866" w14:textId="49DF0B23" w:rsidR="004A45E8" w:rsidRDefault="006D4731" w:rsidP="004A45E8">
      <w:r>
        <w:t>This may be either an explicit unique identifier specified by the tool, or a synthetic, but still unique identifier established by the organization. In the case of rules directly represented by tool settings (for example: compiler warnings), the settings may be used when practical.</w:t>
      </w:r>
    </w:p>
    <w:p w14:paraId="008EF3BF" w14:textId="3DD426DF" w:rsidR="006D4731" w:rsidRDefault="006D4731" w:rsidP="006D4731">
      <w:pPr>
        <w:ind w:left="810" w:hanging="810"/>
      </w:pPr>
      <w:r w:rsidRPr="00D26188">
        <w:rPr>
          <w:b/>
          <w:bCs/>
          <w:color w:val="0070C0"/>
        </w:rPr>
        <w:t>Note:</w:t>
      </w:r>
      <w:r>
        <w:tab/>
        <w:t>When using synthetic identifiers, keep in mind that they may be used as fields within various tracking systems and may require additional handling when referencing them within selection logic such as scripting languages.</w:t>
      </w:r>
    </w:p>
    <w:p w14:paraId="420DD48E" w14:textId="77777777" w:rsidR="004A45E8" w:rsidRPr="004A45E8" w:rsidRDefault="004A45E8" w:rsidP="004A45E8">
      <w:pPr>
        <w:pStyle w:val="Heading3"/>
        <w:rPr>
          <w:color w:val="0070C0"/>
        </w:rPr>
      </w:pPr>
      <w:r w:rsidRPr="004A45E8">
        <w:rPr>
          <w:color w:val="0070C0"/>
        </w:rPr>
        <w:t>Name</w:t>
      </w:r>
    </w:p>
    <w:p w14:paraId="27A02607" w14:textId="655CADFE" w:rsidR="004A45E8" w:rsidRDefault="006D4731" w:rsidP="004A45E8">
      <w:r>
        <w:t>Name of the rule</w:t>
      </w:r>
    </w:p>
    <w:p w14:paraId="24056552" w14:textId="57DE758B" w:rsidR="004A45E8" w:rsidRPr="004A45E8" w:rsidRDefault="004A45E8" w:rsidP="004A45E8">
      <w:pPr>
        <w:pStyle w:val="Heading3"/>
        <w:rPr>
          <w:color w:val="0070C0"/>
        </w:rPr>
      </w:pPr>
      <w:r>
        <w:rPr>
          <w:color w:val="0070C0"/>
        </w:rPr>
        <w:t>Description</w:t>
      </w:r>
    </w:p>
    <w:p w14:paraId="7E0CD154" w14:textId="0B82C604" w:rsidR="004A45E8" w:rsidRDefault="006D4731" w:rsidP="004A45E8">
      <w:r>
        <w:t>Depending upon the type of analysis and tool used, there may be both short and long forms of the rule description available.</w:t>
      </w:r>
    </w:p>
    <w:p w14:paraId="4CC77BDA" w14:textId="77777777" w:rsidR="004A45E8" w:rsidRPr="004A45E8" w:rsidRDefault="004A45E8" w:rsidP="004A45E8">
      <w:pPr>
        <w:pStyle w:val="Heading3"/>
        <w:rPr>
          <w:color w:val="0070C0"/>
        </w:rPr>
      </w:pPr>
      <w:r>
        <w:rPr>
          <w:color w:val="0070C0"/>
        </w:rPr>
        <w:t>Documentation URI</w:t>
      </w:r>
    </w:p>
    <w:p w14:paraId="78986270" w14:textId="02BD15CC" w:rsidR="006D4731" w:rsidRDefault="006D4731" w:rsidP="006D4731">
      <w:r>
        <w:t>Location of the documentation corresponding to the rule.</w:t>
      </w:r>
    </w:p>
    <w:p w14:paraId="09054898" w14:textId="67D87A5B" w:rsidR="006D4731" w:rsidRDefault="006D4731" w:rsidP="006D4731">
      <w:pPr>
        <w:ind w:left="810" w:hanging="810"/>
      </w:pPr>
      <w:r w:rsidRPr="00D26188">
        <w:rPr>
          <w:b/>
          <w:bCs/>
          <w:color w:val="0070C0"/>
        </w:rPr>
        <w:t>Note:</w:t>
      </w:r>
      <w:r>
        <w:tab/>
        <w:t>It may be the case that all rules share a common documentation location. However, when there is more granularity available, make use of it.</w:t>
      </w:r>
    </w:p>
    <w:p w14:paraId="0E2061D4" w14:textId="2602ED13" w:rsidR="004A45E8" w:rsidRPr="004A45E8" w:rsidRDefault="004A45E8" w:rsidP="004A45E8">
      <w:pPr>
        <w:pStyle w:val="Heading3"/>
        <w:rPr>
          <w:color w:val="0070C0"/>
        </w:rPr>
      </w:pPr>
      <w:r>
        <w:rPr>
          <w:color w:val="0070C0"/>
        </w:rPr>
        <w:t>References</w:t>
      </w:r>
    </w:p>
    <w:p w14:paraId="0B55A8E8" w14:textId="3B723431" w:rsidR="004A45E8" w:rsidRDefault="006D4731" w:rsidP="004A45E8">
      <w:r>
        <w:t>References to associated taxonomy entries, such as Common Weakness Enumeration (CWE).</w:t>
      </w:r>
    </w:p>
    <w:p w14:paraId="703D8A2B" w14:textId="77777777" w:rsidR="004A45E8" w:rsidRDefault="004A45E8" w:rsidP="004A45E8">
      <w:pPr>
        <w:spacing w:after="0"/>
        <w:jc w:val="left"/>
      </w:pPr>
      <w:r>
        <w:br w:type="page"/>
      </w:r>
    </w:p>
    <w:p w14:paraId="03EA952D" w14:textId="77777777" w:rsidR="004A45E8" w:rsidRPr="00150601" w:rsidRDefault="004A45E8" w:rsidP="004A45E8">
      <w:pPr>
        <w:pStyle w:val="Heading2"/>
      </w:pPr>
      <w:r>
        <w:lastRenderedPageBreak/>
        <w:t>Element</w:t>
      </w:r>
    </w:p>
    <w:p w14:paraId="59699512" w14:textId="7A472D84" w:rsidR="004A45E8" w:rsidRDefault="004A45E8" w:rsidP="004A45E8">
      <w:r>
        <w:t xml:space="preserve">This section </w:t>
      </w:r>
      <w:r w:rsidR="006D4731">
        <w:t>covers the element under consideration</w:t>
      </w:r>
      <w:r>
        <w:t>.</w:t>
      </w:r>
    </w:p>
    <w:p w14:paraId="4288B672" w14:textId="77777777" w:rsidR="004A45E8" w:rsidRPr="004A45E8" w:rsidRDefault="004A45E8" w:rsidP="004A45E8">
      <w:pPr>
        <w:pStyle w:val="Heading3"/>
        <w:rPr>
          <w:color w:val="0070C0"/>
        </w:rPr>
      </w:pPr>
      <w:r w:rsidRPr="004A45E8">
        <w:rPr>
          <w:color w:val="0070C0"/>
        </w:rPr>
        <w:t>Name</w:t>
      </w:r>
    </w:p>
    <w:p w14:paraId="11CC0444" w14:textId="07D2BA0A" w:rsidR="004A45E8" w:rsidRDefault="006D4731" w:rsidP="004A45E8">
      <w:r>
        <w:t>Element name</w:t>
      </w:r>
    </w:p>
    <w:p w14:paraId="47283A54" w14:textId="1C05461E" w:rsidR="00E65109" w:rsidRPr="004A45E8" w:rsidRDefault="00E65109" w:rsidP="00E65109">
      <w:pPr>
        <w:pStyle w:val="Heading3"/>
        <w:rPr>
          <w:color w:val="0070C0"/>
        </w:rPr>
      </w:pPr>
      <w:r>
        <w:rPr>
          <w:color w:val="0070C0"/>
        </w:rPr>
        <w:t>Description</w:t>
      </w:r>
    </w:p>
    <w:p w14:paraId="6D527504" w14:textId="18C98E57" w:rsidR="00E65109" w:rsidRDefault="00E65109" w:rsidP="00E65109">
      <w:r>
        <w:t>The element’s description should provide sufficient context in order to identify the element within the larger system</w:t>
      </w:r>
      <w:r w:rsidR="004C7A53">
        <w:t>.</w:t>
      </w:r>
    </w:p>
    <w:p w14:paraId="7A7FEA74" w14:textId="0C7BF24E" w:rsidR="004C7A53" w:rsidRDefault="004C7A53" w:rsidP="004C7A53">
      <w:pPr>
        <w:ind w:left="810" w:hanging="810"/>
      </w:pPr>
      <w:r w:rsidRPr="00D26188">
        <w:rPr>
          <w:b/>
          <w:bCs/>
          <w:color w:val="0070C0"/>
        </w:rPr>
        <w:t>Note:</w:t>
      </w:r>
      <w:r>
        <w:tab/>
        <w:t>Diagrams should be included when appropriate.</w:t>
      </w:r>
    </w:p>
    <w:p w14:paraId="5ACC57CE" w14:textId="77777777" w:rsidR="004A45E8" w:rsidRPr="004A45E8" w:rsidRDefault="004A45E8" w:rsidP="004A45E8">
      <w:pPr>
        <w:pStyle w:val="Heading3"/>
        <w:rPr>
          <w:color w:val="0070C0"/>
        </w:rPr>
      </w:pPr>
      <w:r>
        <w:rPr>
          <w:color w:val="0070C0"/>
        </w:rPr>
        <w:t>Documentation URI</w:t>
      </w:r>
    </w:p>
    <w:p w14:paraId="7562064B" w14:textId="163A01B3" w:rsidR="006D4731" w:rsidRDefault="006D4731" w:rsidP="006D4731">
      <w:r>
        <w:t>Location of the documentation of the element under consideration.</w:t>
      </w:r>
    </w:p>
    <w:p w14:paraId="0651AD8B" w14:textId="77777777" w:rsidR="004A45E8" w:rsidRPr="004A45E8" w:rsidRDefault="004A45E8" w:rsidP="004A45E8">
      <w:pPr>
        <w:pStyle w:val="Heading3"/>
        <w:rPr>
          <w:color w:val="0070C0"/>
        </w:rPr>
      </w:pPr>
      <w:r>
        <w:rPr>
          <w:color w:val="0070C0"/>
        </w:rPr>
        <w:t>Source Code URI</w:t>
      </w:r>
    </w:p>
    <w:p w14:paraId="4C98533F" w14:textId="499624FD" w:rsidR="006D4731" w:rsidRDefault="006D4731" w:rsidP="006D4731">
      <w:r>
        <w:t>Location of the source code of the element under consideration.</w:t>
      </w:r>
    </w:p>
    <w:p w14:paraId="45344861" w14:textId="77777777" w:rsidR="004A45E8" w:rsidRDefault="004A45E8">
      <w:pPr>
        <w:spacing w:after="0"/>
        <w:jc w:val="left"/>
        <w:rPr>
          <w:sz w:val="32"/>
          <w:szCs w:val="32"/>
        </w:rPr>
      </w:pPr>
      <w:r>
        <w:br w:type="page"/>
      </w:r>
    </w:p>
    <w:p w14:paraId="0BC1EA34" w14:textId="67022367" w:rsidR="004A45E8" w:rsidRPr="00150601" w:rsidRDefault="004A45E8" w:rsidP="004A45E8">
      <w:pPr>
        <w:pStyle w:val="Heading2"/>
      </w:pPr>
      <w:r>
        <w:lastRenderedPageBreak/>
        <w:t>Results</w:t>
      </w:r>
    </w:p>
    <w:p w14:paraId="29427CD9" w14:textId="61D776FF" w:rsidR="004A45E8" w:rsidRDefault="004A45E8" w:rsidP="004A45E8">
      <w:r>
        <w:t xml:space="preserve">This section </w:t>
      </w:r>
      <w:r w:rsidR="006D4731">
        <w:t>covers the</w:t>
      </w:r>
      <w:r>
        <w:t xml:space="preserve"> results</w:t>
      </w:r>
      <w:r w:rsidR="006D4731">
        <w:t xml:space="preserve"> of the analysis</w:t>
      </w:r>
      <w:r>
        <w:t>.</w:t>
      </w:r>
    </w:p>
    <w:p w14:paraId="76BC4DE5" w14:textId="77777777" w:rsidR="004A45E8" w:rsidRPr="004A45E8" w:rsidRDefault="004A45E8" w:rsidP="004A45E8">
      <w:pPr>
        <w:pStyle w:val="Heading3"/>
        <w:rPr>
          <w:color w:val="0070C0"/>
        </w:rPr>
      </w:pPr>
      <w:r>
        <w:rPr>
          <w:color w:val="0070C0"/>
        </w:rPr>
        <w:t>ID</w:t>
      </w:r>
    </w:p>
    <w:p w14:paraId="31054BD2" w14:textId="4A411104" w:rsidR="004A45E8" w:rsidRDefault="006D4731" w:rsidP="004A45E8">
      <w:r>
        <w:t>Unique identifier of the result</w:t>
      </w:r>
    </w:p>
    <w:p w14:paraId="333A73E8" w14:textId="37C03026" w:rsidR="004A45E8" w:rsidRPr="004A45E8" w:rsidRDefault="004A45E8" w:rsidP="004A45E8">
      <w:pPr>
        <w:pStyle w:val="Heading3"/>
        <w:rPr>
          <w:color w:val="0070C0"/>
        </w:rPr>
      </w:pPr>
      <w:r>
        <w:rPr>
          <w:color w:val="0070C0"/>
        </w:rPr>
        <w:t>Location</w:t>
      </w:r>
    </w:p>
    <w:p w14:paraId="647D6318" w14:textId="2D4B799D" w:rsidR="004A45E8" w:rsidRDefault="006D4731" w:rsidP="004A45E8">
      <w:r>
        <w:t>The location within the context of the type of analysis. This may be a location within a diagram in the case of threat modeling or within a source file in the case of static or dynamic analysis.</w:t>
      </w:r>
    </w:p>
    <w:p w14:paraId="394F8B6D" w14:textId="77777777" w:rsidR="004A45E8" w:rsidRPr="004A45E8" w:rsidRDefault="004A45E8" w:rsidP="004A45E8">
      <w:pPr>
        <w:pStyle w:val="Heading3"/>
        <w:rPr>
          <w:color w:val="0070C0"/>
        </w:rPr>
      </w:pPr>
      <w:r>
        <w:rPr>
          <w:color w:val="0070C0"/>
        </w:rPr>
        <w:t>Description</w:t>
      </w:r>
    </w:p>
    <w:p w14:paraId="3BA4AA2B" w14:textId="6BB1F21E" w:rsidR="004A45E8" w:rsidRDefault="00E16537" w:rsidP="004A45E8">
      <w:r>
        <w:t>The description should be contain a reference to the rule violated and sufficient information to verify the issue.</w:t>
      </w:r>
    </w:p>
    <w:p w14:paraId="0BA6ADFE" w14:textId="77777777" w:rsidR="004C7A53" w:rsidRDefault="004C7A53" w:rsidP="004C7A53">
      <w:pPr>
        <w:ind w:left="810" w:hanging="810"/>
      </w:pPr>
      <w:r w:rsidRPr="00D26188">
        <w:rPr>
          <w:b/>
          <w:bCs/>
          <w:color w:val="0070C0"/>
        </w:rPr>
        <w:t>Note:</w:t>
      </w:r>
      <w:r>
        <w:tab/>
        <w:t>Diagrams should be included when appropriate.</w:t>
      </w:r>
    </w:p>
    <w:p w14:paraId="295E1F18" w14:textId="00E1A383" w:rsidR="00525529" w:rsidRPr="004A45E8" w:rsidRDefault="00525529" w:rsidP="00525529">
      <w:pPr>
        <w:pStyle w:val="Heading3"/>
        <w:rPr>
          <w:color w:val="0070C0"/>
        </w:rPr>
      </w:pPr>
      <w:r>
        <w:rPr>
          <w:color w:val="0070C0"/>
        </w:rPr>
        <w:t>Disposition (optional)</w:t>
      </w:r>
    </w:p>
    <w:p w14:paraId="1ADBB6E9" w14:textId="7BD7216A" w:rsidR="00525529" w:rsidRDefault="00525529" w:rsidP="00525529">
      <w:r>
        <w:t>The disposition of the issue as assigned during triage.</w:t>
      </w:r>
    </w:p>
    <w:p w14:paraId="3720F7BB" w14:textId="7C7ECA8B" w:rsidR="004A45E8" w:rsidRPr="004A45E8" w:rsidRDefault="004A45E8" w:rsidP="004A45E8">
      <w:pPr>
        <w:pStyle w:val="Heading3"/>
        <w:rPr>
          <w:color w:val="0070C0"/>
        </w:rPr>
      </w:pPr>
      <w:r>
        <w:rPr>
          <w:color w:val="0070C0"/>
        </w:rPr>
        <w:t>Severity</w:t>
      </w:r>
      <w:r w:rsidR="006D4731">
        <w:rPr>
          <w:color w:val="0070C0"/>
        </w:rPr>
        <w:t xml:space="preserve"> (optional)</w:t>
      </w:r>
    </w:p>
    <w:p w14:paraId="06CC9F0C" w14:textId="1EE6E67D" w:rsidR="004A45E8" w:rsidRDefault="006D4731" w:rsidP="004A45E8">
      <w:r>
        <w:t>The initial severity of the issue as assigned during triage.</w:t>
      </w:r>
    </w:p>
    <w:p w14:paraId="72FE483A" w14:textId="25F165BA" w:rsidR="004A45E8" w:rsidRPr="004A45E8" w:rsidRDefault="004A45E8" w:rsidP="004A45E8">
      <w:pPr>
        <w:pStyle w:val="Heading3"/>
        <w:rPr>
          <w:color w:val="0070C0"/>
        </w:rPr>
      </w:pPr>
      <w:r>
        <w:rPr>
          <w:color w:val="0070C0"/>
        </w:rPr>
        <w:t>References</w:t>
      </w:r>
      <w:r w:rsidR="006D4731">
        <w:rPr>
          <w:color w:val="0070C0"/>
        </w:rPr>
        <w:t xml:space="preserve"> (optional)</w:t>
      </w:r>
    </w:p>
    <w:p w14:paraId="2025D41B" w14:textId="1D409D4A" w:rsidR="004A45E8" w:rsidRDefault="006D4731" w:rsidP="004A45E8">
      <w:r>
        <w:t>References to specific associated taxonomy entries.</w:t>
      </w:r>
    </w:p>
    <w:p w14:paraId="443E9968" w14:textId="77777777" w:rsidR="004A45E8" w:rsidRDefault="004A45E8" w:rsidP="004A45E8"/>
    <w:p w14:paraId="3090110F" w14:textId="77777777" w:rsidR="004A45E8" w:rsidRDefault="004A45E8" w:rsidP="004A45E8">
      <w:pPr>
        <w:spacing w:after="0"/>
        <w:jc w:val="left"/>
        <w:rPr>
          <w:sz w:val="40"/>
          <w:szCs w:val="40"/>
        </w:rPr>
      </w:pPr>
      <w:r>
        <w:br w:type="page"/>
      </w:r>
    </w:p>
    <w:p w14:paraId="21EB43F8" w14:textId="746C4881" w:rsidR="004A45E8" w:rsidRDefault="006E7290" w:rsidP="004A45E8">
      <w:pPr>
        <w:pStyle w:val="Heading1"/>
      </w:pPr>
      <w:r>
        <w:lastRenderedPageBreak/>
        <w:t>Input Sources</w:t>
      </w:r>
    </w:p>
    <w:p w14:paraId="4E5D6572" w14:textId="57FD2168" w:rsidR="00BE3661" w:rsidRDefault="00D406DA" w:rsidP="004A45E8">
      <w:r>
        <w:t>By the time that a cybersecurity process has reached the stage where a report is warranted, multiple sources have been either utilized or referenced</w:t>
      </w:r>
      <w:r w:rsidR="004468A9">
        <w:t>.</w:t>
      </w:r>
      <w:r>
        <w:t xml:space="preserve"> Fewer for ones like secure settings. More for explicit analysis processes like static and dynamic analysis.</w:t>
      </w:r>
    </w:p>
    <w:p w14:paraId="3FED3AEE" w14:textId="25224447" w:rsidR="009C040A" w:rsidRDefault="009C040A" w:rsidP="004A45E8">
      <w:r>
        <w:t>The following diagram shows the general report input sources:</w:t>
      </w:r>
    </w:p>
    <w:p w14:paraId="1E798F7C" w14:textId="2AEABDD9" w:rsidR="009C040A" w:rsidRDefault="009A10C1" w:rsidP="004A45E8">
      <w:r>
        <w:rPr>
          <w:noProof/>
        </w:rPr>
        <w:drawing>
          <wp:inline distT="0" distB="0" distL="0" distR="0" wp14:anchorId="0A81FFE2" wp14:editId="59595C9F">
            <wp:extent cx="5934710" cy="4157980"/>
            <wp:effectExtent l="0" t="0" r="0" b="0"/>
            <wp:docPr id="1678179464" name="Picture 1" descr="A diagram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9464" name="Picture 1" descr="A diagram of a tool&#10;&#10;AI-generated content may be incorrect."/>
                    <pic:cNvPicPr/>
                  </pic:nvPicPr>
                  <pic:blipFill>
                    <a:blip r:embed="rId10"/>
                    <a:stretch>
                      <a:fillRect/>
                    </a:stretch>
                  </pic:blipFill>
                  <pic:spPr>
                    <a:xfrm>
                      <a:off x="0" y="0"/>
                      <a:ext cx="5934710" cy="4157980"/>
                    </a:xfrm>
                    <a:prstGeom prst="rect">
                      <a:avLst/>
                    </a:prstGeom>
                  </pic:spPr>
                </pic:pic>
              </a:graphicData>
            </a:graphic>
          </wp:inline>
        </w:drawing>
      </w:r>
    </w:p>
    <w:p w14:paraId="3543734B" w14:textId="0C20EF36" w:rsidR="001268F4" w:rsidRPr="0006204F" w:rsidRDefault="001268F4" w:rsidP="001268F4">
      <w:pPr>
        <w:pStyle w:val="Note"/>
      </w:pPr>
      <w:r w:rsidRPr="00D26188">
        <w:rPr>
          <w:b/>
          <w:bCs/>
          <w:color w:val="0070C0"/>
        </w:rPr>
        <w:t>Note:</w:t>
      </w:r>
      <w:r>
        <w:tab/>
        <w:t>It is recognized that not every organization will have reached a level of maturity where databases are used for aggregating various common information. This is one of the reasons why the AVCDL provides and discusses data handling via workbook templates as they are readily available, do not require a particular level of organizational maturity, and are directly abstractable into database schemas.</w:t>
      </w:r>
    </w:p>
    <w:p w14:paraId="31DD700F" w14:textId="77777777" w:rsidR="001268F4" w:rsidRDefault="001268F4">
      <w:pPr>
        <w:spacing w:after="0"/>
        <w:jc w:val="left"/>
        <w:rPr>
          <w:sz w:val="32"/>
          <w:szCs w:val="32"/>
        </w:rPr>
      </w:pPr>
      <w:r>
        <w:br w:type="page"/>
      </w:r>
    </w:p>
    <w:p w14:paraId="33228C5E" w14:textId="6685B0D3" w:rsidR="004A45E8" w:rsidRPr="00150601" w:rsidRDefault="004A45E8" w:rsidP="004A45E8">
      <w:pPr>
        <w:pStyle w:val="Heading2"/>
      </w:pPr>
      <w:r>
        <w:lastRenderedPageBreak/>
        <w:t>Tool</w:t>
      </w:r>
    </w:p>
    <w:p w14:paraId="4F6FB4C2" w14:textId="64246AD2" w:rsidR="004A45E8" w:rsidRDefault="00867124" w:rsidP="004A45E8">
      <w:r>
        <w:t xml:space="preserve">The authoritative source for tools will be the development tools and components database described in the </w:t>
      </w:r>
      <w:r w:rsidRPr="00867124">
        <w:rPr>
          <w:b/>
          <w:bCs/>
        </w:rPr>
        <w:t>List of Approved Tools and Components</w:t>
      </w:r>
      <w:r w:rsidR="00B9464D">
        <w:rPr>
          <w:b/>
          <w:bCs/>
        </w:rPr>
        <w:t xml:space="preserve"> </w:t>
      </w:r>
      <w:r>
        <w:t>secondary document</w:t>
      </w:r>
      <w:r w:rsidR="004A45E8">
        <w:t>.</w:t>
      </w:r>
      <w:r>
        <w:t xml:space="preserve"> Since only approved tools should be used in the creation of safety-critical, cyber-physical systems, all tools are assumed to have been ingested through this process.</w:t>
      </w:r>
    </w:p>
    <w:p w14:paraId="340E9F34" w14:textId="1678110E" w:rsidR="001268F4" w:rsidRPr="00150601" w:rsidRDefault="001268F4" w:rsidP="001268F4">
      <w:pPr>
        <w:pStyle w:val="Heading2"/>
      </w:pPr>
      <w:r>
        <w:t>Element</w:t>
      </w:r>
    </w:p>
    <w:p w14:paraId="2FFE6C27" w14:textId="04DAD4A9" w:rsidR="001268F4" w:rsidRDefault="00867124" w:rsidP="001268F4">
      <w:r>
        <w:t>Information regarding any element of the system should be documented in either the DMS or source code repository</w:t>
      </w:r>
      <w:r w:rsidR="001268F4">
        <w:t>.</w:t>
      </w:r>
    </w:p>
    <w:p w14:paraId="4E87DAFA" w14:textId="0F8EA1DE" w:rsidR="001268F4" w:rsidRPr="00150601" w:rsidRDefault="001268F4" w:rsidP="001268F4">
      <w:pPr>
        <w:pStyle w:val="Heading2"/>
      </w:pPr>
      <w:r>
        <w:t>Settings</w:t>
      </w:r>
    </w:p>
    <w:p w14:paraId="4CE8753F" w14:textId="7EDB7E38" w:rsidR="001268F4" w:rsidRDefault="00572718" w:rsidP="001268F4">
      <w:r>
        <w:t xml:space="preserve">The tool settings are sourced from the </w:t>
      </w:r>
      <w:r w:rsidRPr="00572718">
        <w:rPr>
          <w:b/>
          <w:bCs/>
        </w:rPr>
        <w:t>security options qualifications report</w:t>
      </w:r>
      <w:r>
        <w:t xml:space="preserve"> generated using the </w:t>
      </w:r>
      <w:r w:rsidRPr="00572718">
        <w:rPr>
          <w:b/>
          <w:bCs/>
        </w:rPr>
        <w:t xml:space="preserve">Secure Settings Document </w:t>
      </w:r>
      <w:r w:rsidRPr="00572718">
        <w:rPr>
          <w:b/>
          <w:bCs/>
          <w:color w:val="0070C0"/>
          <w:vertAlign w:val="superscript"/>
        </w:rPr>
        <w:t>[7]</w:t>
      </w:r>
      <w:r>
        <w:t xml:space="preserve"> secondary document process</w:t>
      </w:r>
      <w:r w:rsidR="001268F4">
        <w:t>.</w:t>
      </w:r>
    </w:p>
    <w:p w14:paraId="703E6889" w14:textId="618E9A0E" w:rsidR="00572718" w:rsidRPr="0006204F" w:rsidRDefault="00572718" w:rsidP="00572718">
      <w:pPr>
        <w:pStyle w:val="Note"/>
      </w:pPr>
      <w:r w:rsidRPr="00D26188">
        <w:rPr>
          <w:b/>
          <w:bCs/>
          <w:color w:val="0070C0"/>
        </w:rPr>
        <w:t>Note:</w:t>
      </w:r>
      <w:r>
        <w:tab/>
      </w:r>
      <w:r w:rsidR="009E7C6C">
        <w:t>N</w:t>
      </w:r>
      <w:r>
        <w:t>ot every organization will have reached a level of maturity where databases are used for aggregating various common information. This is one of the reasons why the AVCDL provides and discusses data handling via workbook templates as they are readily available, do not require a particular level of organizational maturity, and are directly abstractable into database schemas</w:t>
      </w:r>
      <w:r w:rsidR="009E7C6C">
        <w:t xml:space="preserve"> for those organizations which </w:t>
      </w:r>
      <w:r w:rsidR="00191CAB">
        <w:t>do have the maturity to utilize databases</w:t>
      </w:r>
      <w:r>
        <w:t>.</w:t>
      </w:r>
    </w:p>
    <w:p w14:paraId="0CE6D638" w14:textId="0E2A37C9" w:rsidR="001268F4" w:rsidRPr="00150601" w:rsidRDefault="001268F4" w:rsidP="001268F4">
      <w:pPr>
        <w:pStyle w:val="Heading2"/>
      </w:pPr>
      <w:r>
        <w:t>Results</w:t>
      </w:r>
    </w:p>
    <w:p w14:paraId="0EB4DE24" w14:textId="13E2988A" w:rsidR="001268F4" w:rsidRDefault="00572718" w:rsidP="001268F4">
      <w:r>
        <w:t>The results are sources from the analysis process itself</w:t>
      </w:r>
      <w:r w:rsidR="001268F4">
        <w:t>.</w:t>
      </w:r>
      <w:r>
        <w:t xml:space="preserve"> It is shown </w:t>
      </w:r>
      <w:r w:rsidR="00191CAB">
        <w:t>above</w:t>
      </w:r>
      <w:r>
        <w:t xml:space="preserve"> as a collection</w:t>
      </w:r>
      <w:r w:rsidR="00191CAB">
        <w:t>.</w:t>
      </w:r>
      <w:r>
        <w:t xml:space="preserve"> </w:t>
      </w:r>
      <w:r w:rsidR="00191CAB">
        <w:t>D</w:t>
      </w:r>
      <w:r>
        <w:t xml:space="preserve">epending on the analysis methodology, </w:t>
      </w:r>
      <w:r w:rsidR="00191CAB">
        <w:t xml:space="preserve">the </w:t>
      </w:r>
      <w:r>
        <w:t>results may be consolidated.</w:t>
      </w:r>
    </w:p>
    <w:p w14:paraId="275647D6" w14:textId="77777777" w:rsidR="001268F4" w:rsidRDefault="001268F4" w:rsidP="004A45E8"/>
    <w:p w14:paraId="5DF6BEFB" w14:textId="77777777" w:rsidR="006E7290" w:rsidRDefault="006E7290">
      <w:pPr>
        <w:spacing w:after="0"/>
        <w:jc w:val="left"/>
        <w:rPr>
          <w:sz w:val="40"/>
          <w:szCs w:val="40"/>
        </w:rPr>
      </w:pPr>
      <w:r>
        <w:br w:type="page"/>
      </w:r>
    </w:p>
    <w:p w14:paraId="47BC2AAA" w14:textId="0974B956" w:rsidR="006E7290" w:rsidRDefault="006E7290" w:rsidP="006E7290">
      <w:pPr>
        <w:pStyle w:val="Heading1"/>
      </w:pPr>
      <w:r>
        <w:lastRenderedPageBreak/>
        <w:t>Report Assembly</w:t>
      </w:r>
    </w:p>
    <w:p w14:paraId="18BD9560" w14:textId="58A2D82E" w:rsidR="006E7290" w:rsidRDefault="00191CAB" w:rsidP="006E7290">
      <w:r>
        <w:t>T</w:t>
      </w:r>
      <w:r w:rsidR="006E7290">
        <w:t xml:space="preserve">here are two variants of the generated report. The first simply enumerates the results. The second groups the results by disposition and severity. The second case is used </w:t>
      </w:r>
      <w:r>
        <w:t>for</w:t>
      </w:r>
      <w:r w:rsidR="006E7290">
        <w:t xml:space="preserve"> reports coming out of triage activities. Since the first case is trivial, only the second will be discussed.</w:t>
      </w:r>
    </w:p>
    <w:p w14:paraId="3C1840A4" w14:textId="4B72AA2E" w:rsidR="006E7290" w:rsidRDefault="006E7290" w:rsidP="006E7290">
      <w:r>
        <w:t xml:space="preserve">When comparing the information specified in the previous section to the information accumulated leading up to the point where the report is necessitated, it becomes clear why it is insufficient to simply collect the various source documents / data and present that in place of a </w:t>
      </w:r>
      <w:r w:rsidR="00191CAB">
        <w:t xml:space="preserve">generated </w:t>
      </w:r>
      <w:r>
        <w:t>human-readable report.</w:t>
      </w:r>
    </w:p>
    <w:p w14:paraId="575D15BE" w14:textId="58155DFB" w:rsidR="00954677" w:rsidRDefault="00954677" w:rsidP="00954677">
      <w:pPr>
        <w:pStyle w:val="Heading2"/>
      </w:pPr>
      <w:r>
        <w:t>Mechanism</w:t>
      </w:r>
    </w:p>
    <w:p w14:paraId="2C0119B9" w14:textId="7EEFFA2A" w:rsidR="00191CAB" w:rsidRDefault="00F15B6A" w:rsidP="00954677">
      <w:pPr>
        <w:pStyle w:val="Note"/>
        <w:ind w:left="0" w:firstLine="0"/>
      </w:pPr>
      <w:r>
        <w:t xml:space="preserve">Assembly of the report </w:t>
      </w:r>
      <w:r w:rsidR="00954677">
        <w:t>may</w:t>
      </w:r>
      <w:r>
        <w:t xml:space="preserve"> be automated</w:t>
      </w:r>
      <w:r w:rsidR="00191CAB">
        <w:t>.</w:t>
      </w:r>
      <w:r>
        <w:t xml:space="preserve"> This is recommended. If SARIF and/or databases have been used to embody the various input sources, transformation of these materials is straightforward. Additionally, because of the generic structure specified, any automation will be transferable throughout the lifecycle’s processes.</w:t>
      </w:r>
    </w:p>
    <w:p w14:paraId="2AB9848F" w14:textId="118E8878" w:rsidR="00954677" w:rsidRPr="0006204F" w:rsidRDefault="00954677" w:rsidP="00954677">
      <w:pPr>
        <w:pStyle w:val="Note"/>
        <w:ind w:left="0" w:firstLine="0"/>
      </w:pPr>
      <w:r>
        <w:t>When generated manually, it is recommended that the material be embodied into a format which can be rendered to a PDF as this is the preferred format for documents of record.</w:t>
      </w:r>
    </w:p>
    <w:p w14:paraId="5E65DB67" w14:textId="331444C0" w:rsidR="0066146E" w:rsidRPr="0006204F" w:rsidRDefault="0066146E" w:rsidP="0066146E">
      <w:pPr>
        <w:pStyle w:val="Note"/>
      </w:pPr>
      <w:r w:rsidRPr="00D26188">
        <w:rPr>
          <w:b/>
          <w:bCs/>
          <w:color w:val="0070C0"/>
        </w:rPr>
        <w:t>Note:</w:t>
      </w:r>
      <w:r>
        <w:tab/>
        <w:t>Python libraries are available for ingesting JSON-encoded SARIF and also generating PDFs.</w:t>
      </w:r>
    </w:p>
    <w:p w14:paraId="4EF15005" w14:textId="271D2678" w:rsidR="00954677" w:rsidRDefault="00954677" w:rsidP="00954677">
      <w:pPr>
        <w:pStyle w:val="Heading2"/>
      </w:pPr>
      <w:r>
        <w:t>Content</w:t>
      </w:r>
    </w:p>
    <w:p w14:paraId="19172217" w14:textId="4B65D6A7" w:rsidR="00954677" w:rsidRPr="004A45E8" w:rsidRDefault="00954677" w:rsidP="00954677">
      <w:pPr>
        <w:pStyle w:val="Heading3"/>
        <w:rPr>
          <w:color w:val="0070C0"/>
        </w:rPr>
      </w:pPr>
      <w:r>
        <w:rPr>
          <w:color w:val="0070C0"/>
        </w:rPr>
        <w:t>Preamble</w:t>
      </w:r>
    </w:p>
    <w:p w14:paraId="1B618382" w14:textId="03D271DA" w:rsidR="00191CAB" w:rsidRDefault="00E65109" w:rsidP="006E7290">
      <w:r>
        <w:t>The</w:t>
      </w:r>
      <w:r w:rsidR="00E16537">
        <w:t xml:space="preserve"> report preamble</w:t>
      </w:r>
      <w:r w:rsidR="00250618">
        <w:t xml:space="preserve"> </w:t>
      </w:r>
      <w:r>
        <w:t>should contain the following information:</w:t>
      </w:r>
    </w:p>
    <w:p w14:paraId="64C74570" w14:textId="499D7559" w:rsidR="00E65109" w:rsidRDefault="00E65109" w:rsidP="00E65109">
      <w:pPr>
        <w:pStyle w:val="ListParagraph"/>
        <w:numPr>
          <w:ilvl w:val="0"/>
          <w:numId w:val="23"/>
        </w:numPr>
        <w:ind w:left="360"/>
      </w:pPr>
      <w:r>
        <w:t>Title</w:t>
      </w:r>
      <w:r w:rsidR="009527A2">
        <w:t xml:space="preserve"> (embeds report type)</w:t>
      </w:r>
    </w:p>
    <w:p w14:paraId="26807EFD" w14:textId="2BF7B348" w:rsidR="00E65109" w:rsidRDefault="00E65109" w:rsidP="00E65109">
      <w:pPr>
        <w:pStyle w:val="ListParagraph"/>
        <w:numPr>
          <w:ilvl w:val="0"/>
          <w:numId w:val="23"/>
        </w:numPr>
        <w:ind w:left="360"/>
      </w:pPr>
      <w:r>
        <w:t>Author (“generated” may be used if the report was created via automation)</w:t>
      </w:r>
    </w:p>
    <w:p w14:paraId="4CDFFEA2" w14:textId="42B961F7" w:rsidR="00E65109" w:rsidRDefault="00E65109" w:rsidP="00E65109">
      <w:pPr>
        <w:pStyle w:val="ListParagraph"/>
        <w:numPr>
          <w:ilvl w:val="0"/>
          <w:numId w:val="23"/>
        </w:numPr>
        <w:ind w:left="360"/>
      </w:pPr>
      <w:r>
        <w:t>Date</w:t>
      </w:r>
    </w:p>
    <w:p w14:paraId="07198288" w14:textId="2B499721" w:rsidR="00E65109" w:rsidRDefault="00E65109" w:rsidP="00E65109">
      <w:pPr>
        <w:pStyle w:val="ListParagraph"/>
        <w:numPr>
          <w:ilvl w:val="0"/>
          <w:numId w:val="23"/>
        </w:numPr>
        <w:ind w:left="360"/>
      </w:pPr>
      <w:r>
        <w:t>Revision (where appropriate)</w:t>
      </w:r>
    </w:p>
    <w:p w14:paraId="0CF13CBF" w14:textId="010C2021" w:rsidR="00E65109" w:rsidRDefault="00E65109" w:rsidP="00E65109">
      <w:pPr>
        <w:pStyle w:val="ListParagraph"/>
        <w:numPr>
          <w:ilvl w:val="0"/>
          <w:numId w:val="23"/>
        </w:numPr>
        <w:ind w:left="360"/>
      </w:pPr>
      <w:r>
        <w:t>Consolidated list of references</w:t>
      </w:r>
    </w:p>
    <w:p w14:paraId="316AF8C8" w14:textId="7061C2E9" w:rsidR="0066146E" w:rsidRDefault="00E65109" w:rsidP="0066146E">
      <w:pPr>
        <w:pStyle w:val="Note"/>
        <w:rPr>
          <w:color w:val="0070C0"/>
          <w:sz w:val="28"/>
          <w:szCs w:val="28"/>
        </w:rPr>
      </w:pPr>
      <w:r w:rsidRPr="00D26188">
        <w:rPr>
          <w:b/>
          <w:bCs/>
          <w:color w:val="0070C0"/>
        </w:rPr>
        <w:t>Note:</w:t>
      </w:r>
      <w:r>
        <w:tab/>
        <w:t>The specific composition of the report preamble section is established by the organization.</w:t>
      </w:r>
    </w:p>
    <w:p w14:paraId="1CE8AE65" w14:textId="4F0C9989" w:rsidR="00954677" w:rsidRPr="004A45E8" w:rsidRDefault="00954677" w:rsidP="00954677">
      <w:pPr>
        <w:pStyle w:val="Heading3"/>
        <w:rPr>
          <w:color w:val="0070C0"/>
        </w:rPr>
      </w:pPr>
      <w:r>
        <w:rPr>
          <w:color w:val="0070C0"/>
        </w:rPr>
        <w:t>Core</w:t>
      </w:r>
    </w:p>
    <w:p w14:paraId="4E090D91" w14:textId="0E392537" w:rsidR="004C7A53" w:rsidRDefault="0066146E" w:rsidP="004C7A53">
      <w:r>
        <w:t>W</w:t>
      </w:r>
      <w:r w:rsidR="00954677">
        <w:t xml:space="preserve">hen organizing the results </w:t>
      </w:r>
      <w:r w:rsidR="00D86709">
        <w:t xml:space="preserve">ensure </w:t>
      </w:r>
      <w:r w:rsidR="00954677">
        <w:t>that</w:t>
      </w:r>
      <w:r>
        <w:t xml:space="preserve"> clear section headings be used</w:t>
      </w:r>
      <w:r w:rsidR="004C7A53">
        <w:t>.</w:t>
      </w:r>
      <w:r>
        <w:t xml:space="preserve"> Additionally, triaged issues should be presented in the following order (review, repair, and reject).</w:t>
      </w:r>
    </w:p>
    <w:p w14:paraId="1F1EC908" w14:textId="208E2D83" w:rsidR="0066146E" w:rsidRDefault="0066146E" w:rsidP="004C7A53">
      <w:r>
        <w:t>Individual results should use reference rule IDs, rather than restating them.</w:t>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81649B">
      <w:pPr>
        <w:pStyle w:val="ListParagraph"/>
        <w:numPr>
          <w:ilvl w:val="0"/>
          <w:numId w:val="22"/>
        </w:numPr>
      </w:pPr>
      <w:r w:rsidRPr="00987ACF">
        <w:rPr>
          <w:b/>
          <w:bCs/>
        </w:rPr>
        <w:t>AVCDL</w:t>
      </w:r>
      <w:r w:rsidRPr="00987ACF">
        <w:t xml:space="preserve"> (AVCDL primary document)</w:t>
      </w:r>
    </w:p>
    <w:p w14:paraId="480B4DB3" w14:textId="654F6950" w:rsidR="0094429E" w:rsidRDefault="007160FF" w:rsidP="0081649B">
      <w:pPr>
        <w:pStyle w:val="ListParagraph"/>
        <w:numPr>
          <w:ilvl w:val="0"/>
          <w:numId w:val="22"/>
        </w:numPr>
      </w:pPr>
      <w:r>
        <w:rPr>
          <w:b/>
          <w:bCs/>
        </w:rPr>
        <w:t>Static</w:t>
      </w:r>
      <w:r w:rsidR="00CD0676">
        <w:rPr>
          <w:b/>
          <w:bCs/>
        </w:rPr>
        <w:t xml:space="preserve"> Analysis</w:t>
      </w:r>
      <w:r w:rsidR="005A62CE">
        <w:rPr>
          <w:b/>
          <w:bCs/>
        </w:rPr>
        <w:t xml:space="preserve"> Report</w:t>
      </w:r>
      <w:r w:rsidR="0094429E" w:rsidRPr="00987ACF">
        <w:rPr>
          <w:b/>
          <w:bCs/>
        </w:rPr>
        <w:t xml:space="preserve"> </w:t>
      </w:r>
      <w:r w:rsidR="0094429E" w:rsidRPr="00987ACF">
        <w:t>(AVCDL secondary document)</w:t>
      </w:r>
    </w:p>
    <w:p w14:paraId="66ED75D8" w14:textId="31144037" w:rsidR="0081649B" w:rsidRPr="00987ACF" w:rsidRDefault="0081649B" w:rsidP="0081649B">
      <w:pPr>
        <w:pStyle w:val="ListParagraph"/>
        <w:numPr>
          <w:ilvl w:val="0"/>
          <w:numId w:val="22"/>
        </w:numPr>
      </w:pPr>
      <w:r>
        <w:rPr>
          <w:b/>
          <w:bCs/>
        </w:rPr>
        <w:t xml:space="preserve">Dynamic Analysis Report </w:t>
      </w:r>
      <w:r w:rsidRPr="00987ACF">
        <w:t>(AVCDL secondary document)</w:t>
      </w:r>
    </w:p>
    <w:p w14:paraId="4625AF28" w14:textId="3ACA79EB" w:rsidR="006D33BE" w:rsidRDefault="000D5927" w:rsidP="0081649B">
      <w:pPr>
        <w:pStyle w:val="ListParagraph"/>
        <w:numPr>
          <w:ilvl w:val="0"/>
          <w:numId w:val="22"/>
        </w:numPr>
        <w:rPr>
          <w:color w:val="000000" w:themeColor="text1"/>
        </w:rPr>
      </w:pPr>
      <w:r>
        <w:rPr>
          <w:b/>
          <w:bCs/>
        </w:rPr>
        <w:t>Penetration Testing Report</w:t>
      </w:r>
      <w:r w:rsidR="006D33BE" w:rsidRPr="00987ACF">
        <w:t xml:space="preserve"> </w:t>
      </w:r>
      <w:r w:rsidR="006D33BE" w:rsidRPr="00987ACF">
        <w:rPr>
          <w:color w:val="000000" w:themeColor="text1"/>
        </w:rPr>
        <w:t xml:space="preserve">(AVCDL </w:t>
      </w:r>
      <w:r>
        <w:rPr>
          <w:color w:val="000000" w:themeColor="text1"/>
        </w:rPr>
        <w:t>secondary</w:t>
      </w:r>
      <w:r w:rsidR="006D33BE" w:rsidRPr="00987ACF">
        <w:rPr>
          <w:color w:val="000000" w:themeColor="text1"/>
        </w:rPr>
        <w:t xml:space="preserve"> document)</w:t>
      </w:r>
    </w:p>
    <w:p w14:paraId="6B209887" w14:textId="4E0174FF" w:rsidR="0081649B" w:rsidRPr="0081649B" w:rsidRDefault="0081649B" w:rsidP="0081649B">
      <w:pPr>
        <w:pStyle w:val="ListParagraph"/>
        <w:numPr>
          <w:ilvl w:val="0"/>
          <w:numId w:val="22"/>
        </w:numPr>
        <w:rPr>
          <w:color w:val="000000" w:themeColor="text1"/>
        </w:rPr>
      </w:pPr>
      <w:r>
        <w:rPr>
          <w:b/>
          <w:bCs/>
        </w:rPr>
        <w:t xml:space="preserve">List of Approved Tools and Components </w:t>
      </w:r>
      <w:r w:rsidRPr="00987ACF">
        <w:t>(AVCDL secondary document)</w:t>
      </w:r>
    </w:p>
    <w:p w14:paraId="709A298E" w14:textId="7DA59BBA" w:rsidR="0081649B" w:rsidRDefault="0081649B" w:rsidP="0081649B">
      <w:pPr>
        <w:pStyle w:val="ListParagraph"/>
        <w:numPr>
          <w:ilvl w:val="0"/>
          <w:numId w:val="22"/>
        </w:numPr>
        <w:rPr>
          <w:color w:val="000000" w:themeColor="text1"/>
        </w:rPr>
      </w:pPr>
      <w:r>
        <w:rPr>
          <w:b/>
          <w:bCs/>
        </w:rPr>
        <w:t xml:space="preserve">Understanding Open Source in an AVCDL Context </w:t>
      </w:r>
      <w:r w:rsidRPr="00987ACF">
        <w:t xml:space="preserve">(AVCDL </w:t>
      </w:r>
      <w:r>
        <w:t>elaboration</w:t>
      </w:r>
      <w:r w:rsidRPr="00987ACF">
        <w:t xml:space="preserve"> document)</w:t>
      </w:r>
    </w:p>
    <w:p w14:paraId="0AABFCF4" w14:textId="779CF62D" w:rsidR="00D631B9" w:rsidRDefault="00D631B9" w:rsidP="0081649B">
      <w:pPr>
        <w:pStyle w:val="ListParagraph"/>
        <w:numPr>
          <w:ilvl w:val="0"/>
          <w:numId w:val="22"/>
        </w:numPr>
        <w:jc w:val="left"/>
        <w:rPr>
          <w:color w:val="000000" w:themeColor="text1"/>
        </w:rPr>
      </w:pPr>
      <w:r w:rsidRPr="00D631B9">
        <w:rPr>
          <w:b/>
          <w:bCs/>
          <w:color w:val="000000" w:themeColor="text1"/>
        </w:rPr>
        <w:t>Static Analysis Results Interchange Format (SARIF) Version 2.1.0</w:t>
      </w:r>
      <w:r>
        <w:rPr>
          <w:color w:val="000000" w:themeColor="text1"/>
        </w:rPr>
        <w:br/>
      </w:r>
      <w:hyperlink r:id="rId11" w:history="1">
        <w:r w:rsidRPr="00A4446D">
          <w:rPr>
            <w:rStyle w:val="Hyperlink"/>
          </w:rPr>
          <w:t>https://docs.oasis-open.org/sarif/sarif/v2.1.0/os/sarif-v2.1.0-os.pdf</w:t>
        </w:r>
      </w:hyperlink>
      <w:r>
        <w:rPr>
          <w:color w:val="000000" w:themeColor="text1"/>
        </w:rPr>
        <w:t xml:space="preserve"> </w:t>
      </w:r>
    </w:p>
    <w:p w14:paraId="17F3A344" w14:textId="20730DBB" w:rsidR="004314D6" w:rsidRPr="004314D6" w:rsidRDefault="004314D6" w:rsidP="0081649B">
      <w:pPr>
        <w:pStyle w:val="ListParagraph"/>
        <w:numPr>
          <w:ilvl w:val="0"/>
          <w:numId w:val="22"/>
        </w:numPr>
        <w:rPr>
          <w:color w:val="000000" w:themeColor="text1"/>
        </w:rPr>
      </w:pPr>
      <w:r w:rsidRPr="004314D6">
        <w:rPr>
          <w:b/>
          <w:bCs/>
          <w:color w:val="000000" w:themeColor="text1"/>
        </w:rPr>
        <w:t>Threat Prioritization Plan</w:t>
      </w:r>
      <w:r w:rsidRPr="004314D6">
        <w:rPr>
          <w:color w:val="000000" w:themeColor="text1"/>
        </w:rPr>
        <w:t xml:space="preserve"> (AVCDL secondary document)</w:t>
      </w:r>
    </w:p>
    <w:p w14:paraId="169ADF05" w14:textId="6B14C6F5" w:rsidR="000F04B5" w:rsidRPr="000F04B5" w:rsidRDefault="000F04B5" w:rsidP="000F04B5">
      <w:pPr>
        <w:spacing w:after="0"/>
        <w:jc w:val="left"/>
      </w:pPr>
    </w:p>
    <w:sectPr w:rsidR="000F04B5" w:rsidRPr="000F04B5" w:rsidSect="00F96AAD">
      <w:footerReference w:type="even" r:id="rId12"/>
      <w:footerReference w:type="default" r:id="rId13"/>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F7FF3" w14:textId="77777777" w:rsidR="000F1FC0" w:rsidRDefault="000F1FC0" w:rsidP="004D04D5">
      <w:r>
        <w:separator/>
      </w:r>
    </w:p>
  </w:endnote>
  <w:endnote w:type="continuationSeparator" w:id="0">
    <w:p w14:paraId="5FD4CE40" w14:textId="77777777" w:rsidR="000F1FC0" w:rsidRDefault="000F1FC0"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8AEB" w14:textId="77777777" w:rsidR="000F1FC0" w:rsidRDefault="000F1FC0" w:rsidP="004D04D5">
      <w:r>
        <w:separator/>
      </w:r>
    </w:p>
  </w:footnote>
  <w:footnote w:type="continuationSeparator" w:id="0">
    <w:p w14:paraId="3CE4F924" w14:textId="77777777" w:rsidR="000F1FC0" w:rsidRDefault="000F1FC0" w:rsidP="004D0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91F0A"/>
    <w:multiLevelType w:val="hybridMultilevel"/>
    <w:tmpl w:val="E004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038A0"/>
    <w:multiLevelType w:val="hybridMultilevel"/>
    <w:tmpl w:val="2F16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E92694"/>
    <w:multiLevelType w:val="hybridMultilevel"/>
    <w:tmpl w:val="4734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F42EAD"/>
    <w:multiLevelType w:val="hybridMultilevel"/>
    <w:tmpl w:val="A424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5D72C3A"/>
    <w:multiLevelType w:val="hybridMultilevel"/>
    <w:tmpl w:val="CB70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9122D"/>
    <w:multiLevelType w:val="hybridMultilevel"/>
    <w:tmpl w:val="3C7EFFB6"/>
    <w:lvl w:ilvl="0" w:tplc="FFFFFFFF">
      <w:start w:val="1"/>
      <w:numFmt w:val="decimal"/>
      <w:lvlText w:val="%1."/>
      <w:lvlJc w:val="left"/>
      <w:pPr>
        <w:ind w:left="720" w:hanging="360"/>
      </w:pPr>
      <w:rPr>
        <w:rFonts w:ascii="Arial" w:hAnsi="Arial" w:cs="Aria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2B267E"/>
    <w:multiLevelType w:val="hybridMultilevel"/>
    <w:tmpl w:val="331E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F70D2"/>
    <w:multiLevelType w:val="hybridMultilevel"/>
    <w:tmpl w:val="0ED6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8"/>
  </w:num>
  <w:num w:numId="3" w16cid:durableId="1702315015">
    <w:abstractNumId w:val="20"/>
  </w:num>
  <w:num w:numId="4" w16cid:durableId="602954825">
    <w:abstractNumId w:val="11"/>
  </w:num>
  <w:num w:numId="5" w16cid:durableId="1428773610">
    <w:abstractNumId w:val="3"/>
  </w:num>
  <w:num w:numId="6" w16cid:durableId="779642187">
    <w:abstractNumId w:val="17"/>
  </w:num>
  <w:num w:numId="7" w16cid:durableId="1265532068">
    <w:abstractNumId w:val="22"/>
  </w:num>
  <w:num w:numId="8" w16cid:durableId="37513047">
    <w:abstractNumId w:val="14"/>
  </w:num>
  <w:num w:numId="9" w16cid:durableId="1050419778">
    <w:abstractNumId w:val="0"/>
  </w:num>
  <w:num w:numId="10" w16cid:durableId="1414203739">
    <w:abstractNumId w:val="5"/>
  </w:num>
  <w:num w:numId="11" w16cid:durableId="2069692863">
    <w:abstractNumId w:val="6"/>
  </w:num>
  <w:num w:numId="12" w16cid:durableId="386606888">
    <w:abstractNumId w:val="21"/>
  </w:num>
  <w:num w:numId="13" w16cid:durableId="1990740424">
    <w:abstractNumId w:val="18"/>
  </w:num>
  <w:num w:numId="14" w16cid:durableId="934747205">
    <w:abstractNumId w:val="7"/>
  </w:num>
  <w:num w:numId="15" w16cid:durableId="1567297795">
    <w:abstractNumId w:val="15"/>
  </w:num>
  <w:num w:numId="16" w16cid:durableId="2131194687">
    <w:abstractNumId w:val="10"/>
  </w:num>
  <w:num w:numId="17" w16cid:durableId="804009895">
    <w:abstractNumId w:val="19"/>
  </w:num>
  <w:num w:numId="18" w16cid:durableId="1112819327">
    <w:abstractNumId w:val="2"/>
  </w:num>
  <w:num w:numId="19" w16cid:durableId="717239540">
    <w:abstractNumId w:val="9"/>
  </w:num>
  <w:num w:numId="20" w16cid:durableId="270863454">
    <w:abstractNumId w:val="12"/>
  </w:num>
  <w:num w:numId="21" w16cid:durableId="814487635">
    <w:abstractNumId w:val="16"/>
  </w:num>
  <w:num w:numId="22" w16cid:durableId="1964649007">
    <w:abstractNumId w:val="13"/>
  </w:num>
  <w:num w:numId="23" w16cid:durableId="2010326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228E3"/>
    <w:rsid w:val="00035D32"/>
    <w:rsid w:val="0003636D"/>
    <w:rsid w:val="00041C61"/>
    <w:rsid w:val="00053858"/>
    <w:rsid w:val="000575D5"/>
    <w:rsid w:val="0006204F"/>
    <w:rsid w:val="000647A3"/>
    <w:rsid w:val="00074E0B"/>
    <w:rsid w:val="000756B3"/>
    <w:rsid w:val="000818C9"/>
    <w:rsid w:val="00081B38"/>
    <w:rsid w:val="00082344"/>
    <w:rsid w:val="00095309"/>
    <w:rsid w:val="000A5586"/>
    <w:rsid w:val="000B1623"/>
    <w:rsid w:val="000B6439"/>
    <w:rsid w:val="000C02A8"/>
    <w:rsid w:val="000C3C2E"/>
    <w:rsid w:val="000C5B9D"/>
    <w:rsid w:val="000D0B98"/>
    <w:rsid w:val="000D16EC"/>
    <w:rsid w:val="000D5927"/>
    <w:rsid w:val="000D5DA7"/>
    <w:rsid w:val="000D70F7"/>
    <w:rsid w:val="000E51B1"/>
    <w:rsid w:val="000F04B5"/>
    <w:rsid w:val="000F1FC0"/>
    <w:rsid w:val="00104356"/>
    <w:rsid w:val="0011053C"/>
    <w:rsid w:val="001268F4"/>
    <w:rsid w:val="00127529"/>
    <w:rsid w:val="00133267"/>
    <w:rsid w:val="00133B5D"/>
    <w:rsid w:val="001430D7"/>
    <w:rsid w:val="0014395D"/>
    <w:rsid w:val="00150601"/>
    <w:rsid w:val="00150B29"/>
    <w:rsid w:val="0015525F"/>
    <w:rsid w:val="001605B0"/>
    <w:rsid w:val="00161BAD"/>
    <w:rsid w:val="0016216C"/>
    <w:rsid w:val="00165648"/>
    <w:rsid w:val="00170F4C"/>
    <w:rsid w:val="00180F57"/>
    <w:rsid w:val="00191CAB"/>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22C23"/>
    <w:rsid w:val="0022513B"/>
    <w:rsid w:val="002265EC"/>
    <w:rsid w:val="002431C2"/>
    <w:rsid w:val="00250618"/>
    <w:rsid w:val="00255749"/>
    <w:rsid w:val="002558EC"/>
    <w:rsid w:val="0026440E"/>
    <w:rsid w:val="00264D7E"/>
    <w:rsid w:val="00274DA4"/>
    <w:rsid w:val="00280174"/>
    <w:rsid w:val="002819FA"/>
    <w:rsid w:val="00285D9F"/>
    <w:rsid w:val="00287694"/>
    <w:rsid w:val="0029222B"/>
    <w:rsid w:val="002934F2"/>
    <w:rsid w:val="00293A67"/>
    <w:rsid w:val="00294A62"/>
    <w:rsid w:val="002A2BBC"/>
    <w:rsid w:val="002A3F82"/>
    <w:rsid w:val="002A760E"/>
    <w:rsid w:val="002A7C09"/>
    <w:rsid w:val="002B0674"/>
    <w:rsid w:val="002B1610"/>
    <w:rsid w:val="002B3B06"/>
    <w:rsid w:val="002C5B02"/>
    <w:rsid w:val="002D16FA"/>
    <w:rsid w:val="002D27BD"/>
    <w:rsid w:val="002E2E35"/>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5173"/>
    <w:rsid w:val="0037722C"/>
    <w:rsid w:val="0038094C"/>
    <w:rsid w:val="00384A95"/>
    <w:rsid w:val="00390166"/>
    <w:rsid w:val="00390D94"/>
    <w:rsid w:val="003935EC"/>
    <w:rsid w:val="00395C3E"/>
    <w:rsid w:val="003A24F0"/>
    <w:rsid w:val="003A460A"/>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403407"/>
    <w:rsid w:val="00415626"/>
    <w:rsid w:val="00421476"/>
    <w:rsid w:val="00423A2C"/>
    <w:rsid w:val="004314D6"/>
    <w:rsid w:val="00435AB0"/>
    <w:rsid w:val="004468A9"/>
    <w:rsid w:val="004468FF"/>
    <w:rsid w:val="00450284"/>
    <w:rsid w:val="00457371"/>
    <w:rsid w:val="00465FA1"/>
    <w:rsid w:val="004672A6"/>
    <w:rsid w:val="00471220"/>
    <w:rsid w:val="0047422C"/>
    <w:rsid w:val="004849AC"/>
    <w:rsid w:val="004911D0"/>
    <w:rsid w:val="004A0A1E"/>
    <w:rsid w:val="004A0AAC"/>
    <w:rsid w:val="004A3ABB"/>
    <w:rsid w:val="004A45E8"/>
    <w:rsid w:val="004B6634"/>
    <w:rsid w:val="004B6DD3"/>
    <w:rsid w:val="004C590C"/>
    <w:rsid w:val="004C7A53"/>
    <w:rsid w:val="004D04D5"/>
    <w:rsid w:val="004D4D38"/>
    <w:rsid w:val="004E4EEE"/>
    <w:rsid w:val="004E5932"/>
    <w:rsid w:val="004E66A5"/>
    <w:rsid w:val="00500E54"/>
    <w:rsid w:val="0050584B"/>
    <w:rsid w:val="0050733D"/>
    <w:rsid w:val="00515963"/>
    <w:rsid w:val="00517D7C"/>
    <w:rsid w:val="00523161"/>
    <w:rsid w:val="00524C43"/>
    <w:rsid w:val="00525529"/>
    <w:rsid w:val="005259C3"/>
    <w:rsid w:val="0053152A"/>
    <w:rsid w:val="00535191"/>
    <w:rsid w:val="00540D01"/>
    <w:rsid w:val="00540E02"/>
    <w:rsid w:val="005448E4"/>
    <w:rsid w:val="00551FC9"/>
    <w:rsid w:val="00556F8F"/>
    <w:rsid w:val="00564030"/>
    <w:rsid w:val="005659D5"/>
    <w:rsid w:val="00572718"/>
    <w:rsid w:val="0057632D"/>
    <w:rsid w:val="00585283"/>
    <w:rsid w:val="005861DA"/>
    <w:rsid w:val="005A1156"/>
    <w:rsid w:val="005A4730"/>
    <w:rsid w:val="005A4BCF"/>
    <w:rsid w:val="005A62CE"/>
    <w:rsid w:val="005A712A"/>
    <w:rsid w:val="005B35B0"/>
    <w:rsid w:val="005B3EB6"/>
    <w:rsid w:val="005C7DDB"/>
    <w:rsid w:val="005D010A"/>
    <w:rsid w:val="005E0332"/>
    <w:rsid w:val="005E3DCE"/>
    <w:rsid w:val="005F3DE0"/>
    <w:rsid w:val="005F5771"/>
    <w:rsid w:val="005F7475"/>
    <w:rsid w:val="00606F5B"/>
    <w:rsid w:val="00607146"/>
    <w:rsid w:val="00610B22"/>
    <w:rsid w:val="006168EA"/>
    <w:rsid w:val="006220D8"/>
    <w:rsid w:val="00625719"/>
    <w:rsid w:val="00633F93"/>
    <w:rsid w:val="00636BC6"/>
    <w:rsid w:val="006409DA"/>
    <w:rsid w:val="00640D1F"/>
    <w:rsid w:val="00650B9A"/>
    <w:rsid w:val="0065313E"/>
    <w:rsid w:val="00657109"/>
    <w:rsid w:val="0066146E"/>
    <w:rsid w:val="00664588"/>
    <w:rsid w:val="006647A4"/>
    <w:rsid w:val="0067161A"/>
    <w:rsid w:val="00675A1F"/>
    <w:rsid w:val="00676973"/>
    <w:rsid w:val="0068000A"/>
    <w:rsid w:val="00683FA9"/>
    <w:rsid w:val="00694932"/>
    <w:rsid w:val="006B6D54"/>
    <w:rsid w:val="006C07D3"/>
    <w:rsid w:val="006C3D3F"/>
    <w:rsid w:val="006D15EA"/>
    <w:rsid w:val="006D33BE"/>
    <w:rsid w:val="006D4638"/>
    <w:rsid w:val="006D4731"/>
    <w:rsid w:val="006D6222"/>
    <w:rsid w:val="006E0BF2"/>
    <w:rsid w:val="006E2232"/>
    <w:rsid w:val="006E417E"/>
    <w:rsid w:val="006E5681"/>
    <w:rsid w:val="006E5EF3"/>
    <w:rsid w:val="006E7290"/>
    <w:rsid w:val="006F0353"/>
    <w:rsid w:val="006F0B02"/>
    <w:rsid w:val="006F4701"/>
    <w:rsid w:val="006F7485"/>
    <w:rsid w:val="00707AEF"/>
    <w:rsid w:val="00707DDD"/>
    <w:rsid w:val="0071021F"/>
    <w:rsid w:val="007160F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76953"/>
    <w:rsid w:val="00784608"/>
    <w:rsid w:val="00787790"/>
    <w:rsid w:val="00796B60"/>
    <w:rsid w:val="007A247C"/>
    <w:rsid w:val="007A2EA1"/>
    <w:rsid w:val="007A45D4"/>
    <w:rsid w:val="007A4AE1"/>
    <w:rsid w:val="007A5F3B"/>
    <w:rsid w:val="007B1613"/>
    <w:rsid w:val="007B5DC1"/>
    <w:rsid w:val="007C2515"/>
    <w:rsid w:val="007D4044"/>
    <w:rsid w:val="007D705E"/>
    <w:rsid w:val="007E57EA"/>
    <w:rsid w:val="007E6977"/>
    <w:rsid w:val="007F170B"/>
    <w:rsid w:val="007F1FBE"/>
    <w:rsid w:val="007F3451"/>
    <w:rsid w:val="007F5DED"/>
    <w:rsid w:val="007F60A6"/>
    <w:rsid w:val="00801EBD"/>
    <w:rsid w:val="008069A3"/>
    <w:rsid w:val="00810051"/>
    <w:rsid w:val="0081649B"/>
    <w:rsid w:val="00817BE8"/>
    <w:rsid w:val="00821B19"/>
    <w:rsid w:val="00825C12"/>
    <w:rsid w:val="008345A2"/>
    <w:rsid w:val="0084280C"/>
    <w:rsid w:val="00846681"/>
    <w:rsid w:val="008477EC"/>
    <w:rsid w:val="00851759"/>
    <w:rsid w:val="00854151"/>
    <w:rsid w:val="00867124"/>
    <w:rsid w:val="00867179"/>
    <w:rsid w:val="00871D61"/>
    <w:rsid w:val="0087275A"/>
    <w:rsid w:val="00873272"/>
    <w:rsid w:val="00884AF1"/>
    <w:rsid w:val="00885ACC"/>
    <w:rsid w:val="00891D52"/>
    <w:rsid w:val="008924F5"/>
    <w:rsid w:val="00894159"/>
    <w:rsid w:val="00894AA5"/>
    <w:rsid w:val="008A0F25"/>
    <w:rsid w:val="008A30D2"/>
    <w:rsid w:val="008B05E9"/>
    <w:rsid w:val="008B2657"/>
    <w:rsid w:val="008B79A3"/>
    <w:rsid w:val="008C4C55"/>
    <w:rsid w:val="008C6ED0"/>
    <w:rsid w:val="008D0B37"/>
    <w:rsid w:val="008D292A"/>
    <w:rsid w:val="008D646A"/>
    <w:rsid w:val="008E4DF4"/>
    <w:rsid w:val="008E6AA3"/>
    <w:rsid w:val="008E7133"/>
    <w:rsid w:val="008F2563"/>
    <w:rsid w:val="008F2BD4"/>
    <w:rsid w:val="008F79C5"/>
    <w:rsid w:val="00904BEB"/>
    <w:rsid w:val="00910AF7"/>
    <w:rsid w:val="0091329A"/>
    <w:rsid w:val="00915CAD"/>
    <w:rsid w:val="009175AF"/>
    <w:rsid w:val="00922202"/>
    <w:rsid w:val="00922248"/>
    <w:rsid w:val="00923DAF"/>
    <w:rsid w:val="00933DF8"/>
    <w:rsid w:val="00933FD4"/>
    <w:rsid w:val="00935E31"/>
    <w:rsid w:val="00935EB4"/>
    <w:rsid w:val="00940B10"/>
    <w:rsid w:val="0094429E"/>
    <w:rsid w:val="009463BB"/>
    <w:rsid w:val="00951E81"/>
    <w:rsid w:val="009527A2"/>
    <w:rsid w:val="00952AEA"/>
    <w:rsid w:val="009542B7"/>
    <w:rsid w:val="00954677"/>
    <w:rsid w:val="009566A7"/>
    <w:rsid w:val="0095731B"/>
    <w:rsid w:val="009573B6"/>
    <w:rsid w:val="009600F9"/>
    <w:rsid w:val="0096593D"/>
    <w:rsid w:val="0097090A"/>
    <w:rsid w:val="00974B07"/>
    <w:rsid w:val="0098075F"/>
    <w:rsid w:val="00980ABB"/>
    <w:rsid w:val="00987ACF"/>
    <w:rsid w:val="0099436F"/>
    <w:rsid w:val="0099516E"/>
    <w:rsid w:val="009A10C1"/>
    <w:rsid w:val="009A1C2B"/>
    <w:rsid w:val="009A761F"/>
    <w:rsid w:val="009B0573"/>
    <w:rsid w:val="009B1218"/>
    <w:rsid w:val="009B403C"/>
    <w:rsid w:val="009B6D2E"/>
    <w:rsid w:val="009B7ACB"/>
    <w:rsid w:val="009C040A"/>
    <w:rsid w:val="009C1E7C"/>
    <w:rsid w:val="009C51F8"/>
    <w:rsid w:val="009C69DD"/>
    <w:rsid w:val="009D066E"/>
    <w:rsid w:val="009E36AB"/>
    <w:rsid w:val="009E4103"/>
    <w:rsid w:val="009E7C6C"/>
    <w:rsid w:val="009F02E9"/>
    <w:rsid w:val="009F3CC8"/>
    <w:rsid w:val="00A01740"/>
    <w:rsid w:val="00A13157"/>
    <w:rsid w:val="00A224AF"/>
    <w:rsid w:val="00A2327B"/>
    <w:rsid w:val="00A26802"/>
    <w:rsid w:val="00A32733"/>
    <w:rsid w:val="00A32A29"/>
    <w:rsid w:val="00A36038"/>
    <w:rsid w:val="00A4367A"/>
    <w:rsid w:val="00A44450"/>
    <w:rsid w:val="00A672B4"/>
    <w:rsid w:val="00A7083B"/>
    <w:rsid w:val="00A7301A"/>
    <w:rsid w:val="00A76EA5"/>
    <w:rsid w:val="00A776DB"/>
    <w:rsid w:val="00A81A7F"/>
    <w:rsid w:val="00A81B13"/>
    <w:rsid w:val="00A83C76"/>
    <w:rsid w:val="00A873CE"/>
    <w:rsid w:val="00A8792C"/>
    <w:rsid w:val="00A90D1C"/>
    <w:rsid w:val="00A91417"/>
    <w:rsid w:val="00A924AE"/>
    <w:rsid w:val="00A939B6"/>
    <w:rsid w:val="00A93B1E"/>
    <w:rsid w:val="00A958D7"/>
    <w:rsid w:val="00AA2BED"/>
    <w:rsid w:val="00AA69EF"/>
    <w:rsid w:val="00AA6A9F"/>
    <w:rsid w:val="00AB2217"/>
    <w:rsid w:val="00AB3044"/>
    <w:rsid w:val="00AB334C"/>
    <w:rsid w:val="00AC3D66"/>
    <w:rsid w:val="00AE282B"/>
    <w:rsid w:val="00AE3BDD"/>
    <w:rsid w:val="00AF513D"/>
    <w:rsid w:val="00AF57D2"/>
    <w:rsid w:val="00B2241B"/>
    <w:rsid w:val="00B26CCD"/>
    <w:rsid w:val="00B27A24"/>
    <w:rsid w:val="00B310D1"/>
    <w:rsid w:val="00B365D9"/>
    <w:rsid w:val="00B4000F"/>
    <w:rsid w:val="00B41D72"/>
    <w:rsid w:val="00B42A92"/>
    <w:rsid w:val="00B52F8D"/>
    <w:rsid w:val="00B53A0F"/>
    <w:rsid w:val="00B578EB"/>
    <w:rsid w:val="00B600D7"/>
    <w:rsid w:val="00B60129"/>
    <w:rsid w:val="00B629E3"/>
    <w:rsid w:val="00B66C59"/>
    <w:rsid w:val="00B678FE"/>
    <w:rsid w:val="00B74851"/>
    <w:rsid w:val="00B812F7"/>
    <w:rsid w:val="00B871F2"/>
    <w:rsid w:val="00B93140"/>
    <w:rsid w:val="00B9464D"/>
    <w:rsid w:val="00BA4350"/>
    <w:rsid w:val="00BA608F"/>
    <w:rsid w:val="00BA7FA0"/>
    <w:rsid w:val="00BC1471"/>
    <w:rsid w:val="00BD3193"/>
    <w:rsid w:val="00BD3694"/>
    <w:rsid w:val="00BE3661"/>
    <w:rsid w:val="00BE40E9"/>
    <w:rsid w:val="00BE43AD"/>
    <w:rsid w:val="00BE56E0"/>
    <w:rsid w:val="00BF23CE"/>
    <w:rsid w:val="00BF24A6"/>
    <w:rsid w:val="00BF7250"/>
    <w:rsid w:val="00BF7DFD"/>
    <w:rsid w:val="00C0341A"/>
    <w:rsid w:val="00C07011"/>
    <w:rsid w:val="00C122FE"/>
    <w:rsid w:val="00C12915"/>
    <w:rsid w:val="00C20F4A"/>
    <w:rsid w:val="00C22342"/>
    <w:rsid w:val="00C304A7"/>
    <w:rsid w:val="00C31919"/>
    <w:rsid w:val="00C45235"/>
    <w:rsid w:val="00C4755B"/>
    <w:rsid w:val="00C517CF"/>
    <w:rsid w:val="00C5266B"/>
    <w:rsid w:val="00C52E2F"/>
    <w:rsid w:val="00C563B7"/>
    <w:rsid w:val="00C61DCD"/>
    <w:rsid w:val="00C63E1F"/>
    <w:rsid w:val="00CA34D2"/>
    <w:rsid w:val="00CA592A"/>
    <w:rsid w:val="00CA78BF"/>
    <w:rsid w:val="00CA7E40"/>
    <w:rsid w:val="00CB4827"/>
    <w:rsid w:val="00CB7EC3"/>
    <w:rsid w:val="00CC6B69"/>
    <w:rsid w:val="00CC7D38"/>
    <w:rsid w:val="00CD034B"/>
    <w:rsid w:val="00CD0676"/>
    <w:rsid w:val="00CD0871"/>
    <w:rsid w:val="00CD0AAE"/>
    <w:rsid w:val="00CD5EEE"/>
    <w:rsid w:val="00CE025F"/>
    <w:rsid w:val="00CE4EF8"/>
    <w:rsid w:val="00CF1C20"/>
    <w:rsid w:val="00CF264C"/>
    <w:rsid w:val="00CF41DE"/>
    <w:rsid w:val="00CF62A3"/>
    <w:rsid w:val="00D05C94"/>
    <w:rsid w:val="00D11094"/>
    <w:rsid w:val="00D25B37"/>
    <w:rsid w:val="00D31056"/>
    <w:rsid w:val="00D36964"/>
    <w:rsid w:val="00D406DA"/>
    <w:rsid w:val="00D4560E"/>
    <w:rsid w:val="00D4768E"/>
    <w:rsid w:val="00D507D5"/>
    <w:rsid w:val="00D56FB9"/>
    <w:rsid w:val="00D631B9"/>
    <w:rsid w:val="00D64E58"/>
    <w:rsid w:val="00D6617A"/>
    <w:rsid w:val="00D67212"/>
    <w:rsid w:val="00D67408"/>
    <w:rsid w:val="00D67615"/>
    <w:rsid w:val="00D67B40"/>
    <w:rsid w:val="00D707D9"/>
    <w:rsid w:val="00D75CC6"/>
    <w:rsid w:val="00D84327"/>
    <w:rsid w:val="00D86709"/>
    <w:rsid w:val="00D91283"/>
    <w:rsid w:val="00D91B9A"/>
    <w:rsid w:val="00D9333B"/>
    <w:rsid w:val="00DA1A3A"/>
    <w:rsid w:val="00DA31A6"/>
    <w:rsid w:val="00DB5619"/>
    <w:rsid w:val="00DC36E9"/>
    <w:rsid w:val="00DD0B59"/>
    <w:rsid w:val="00DE1A91"/>
    <w:rsid w:val="00DE3D60"/>
    <w:rsid w:val="00DE6452"/>
    <w:rsid w:val="00DF1A31"/>
    <w:rsid w:val="00DF47CE"/>
    <w:rsid w:val="00DF5974"/>
    <w:rsid w:val="00DF79A5"/>
    <w:rsid w:val="00E00FFB"/>
    <w:rsid w:val="00E0243F"/>
    <w:rsid w:val="00E11922"/>
    <w:rsid w:val="00E16537"/>
    <w:rsid w:val="00E175D7"/>
    <w:rsid w:val="00E20442"/>
    <w:rsid w:val="00E23BF2"/>
    <w:rsid w:val="00E23D1F"/>
    <w:rsid w:val="00E24A7C"/>
    <w:rsid w:val="00E24BF2"/>
    <w:rsid w:val="00E260B3"/>
    <w:rsid w:val="00E33421"/>
    <w:rsid w:val="00E34C3C"/>
    <w:rsid w:val="00E40A1F"/>
    <w:rsid w:val="00E5228E"/>
    <w:rsid w:val="00E54864"/>
    <w:rsid w:val="00E6254E"/>
    <w:rsid w:val="00E625B8"/>
    <w:rsid w:val="00E65109"/>
    <w:rsid w:val="00E70FDB"/>
    <w:rsid w:val="00E72ED0"/>
    <w:rsid w:val="00E74325"/>
    <w:rsid w:val="00E75290"/>
    <w:rsid w:val="00E80939"/>
    <w:rsid w:val="00E8294D"/>
    <w:rsid w:val="00E83E54"/>
    <w:rsid w:val="00E9554B"/>
    <w:rsid w:val="00EA06FB"/>
    <w:rsid w:val="00EA1E15"/>
    <w:rsid w:val="00EA40AB"/>
    <w:rsid w:val="00EA57B6"/>
    <w:rsid w:val="00EB2ECF"/>
    <w:rsid w:val="00EB350D"/>
    <w:rsid w:val="00EB70C1"/>
    <w:rsid w:val="00EC09EF"/>
    <w:rsid w:val="00EC210A"/>
    <w:rsid w:val="00EC54C2"/>
    <w:rsid w:val="00EC5F33"/>
    <w:rsid w:val="00EE0CF1"/>
    <w:rsid w:val="00EE395F"/>
    <w:rsid w:val="00EE4A05"/>
    <w:rsid w:val="00EE66E0"/>
    <w:rsid w:val="00EE69C9"/>
    <w:rsid w:val="00EE74E1"/>
    <w:rsid w:val="00EF07D6"/>
    <w:rsid w:val="00EF7CBA"/>
    <w:rsid w:val="00F016B8"/>
    <w:rsid w:val="00F11A17"/>
    <w:rsid w:val="00F15B6A"/>
    <w:rsid w:val="00F15BAF"/>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A5A5F"/>
    <w:rsid w:val="00FB2016"/>
    <w:rsid w:val="00FB7383"/>
    <w:rsid w:val="00FB7A1F"/>
    <w:rsid w:val="00FB7C02"/>
    <w:rsid w:val="00FC5192"/>
    <w:rsid w:val="00FC7727"/>
    <w:rsid w:val="00FD12D5"/>
    <w:rsid w:val="00FD7C37"/>
    <w:rsid w:val="00FE1C1D"/>
    <w:rsid w:val="00FE47B0"/>
    <w:rsid w:val="00FE4B5F"/>
    <w:rsid w:val="00FF3B7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asis-open.org/sarif/sarif/v2.1.0/os/sarif-v2.1.0-os.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12</Pages>
  <Words>1674</Words>
  <Characters>9364</Characters>
  <Application>Microsoft Office Word</Application>
  <DocSecurity>0</DocSecurity>
  <Lines>212</Lines>
  <Paragraphs>147</Paragraphs>
  <ScaleCrop>false</ScaleCrop>
  <HeadingPairs>
    <vt:vector size="2" baseType="variant">
      <vt:variant>
        <vt:lpstr>Title</vt:lpstr>
      </vt:variant>
      <vt:variant>
        <vt:i4>1</vt:i4>
      </vt:variant>
    </vt:vector>
  </HeadingPairs>
  <TitlesOfParts>
    <vt:vector size="1" baseType="lpstr">
      <vt:lpstr>Report Generation</vt:lpstr>
    </vt:vector>
  </TitlesOfParts>
  <Manager/>
  <Company>Torc Robotics, Inc.</Company>
  <LinksUpToDate>false</LinksUpToDate>
  <CharactersWithSpaces>10891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Generation</dc:title>
  <dc:subject>report generation</dc:subject>
  <dc:creator>Charles Wilson</dc:creator>
  <cp:keywords>cybersecurity, report generation</cp:keywords>
  <dc:description>This work was created by Torc Robotics and is licensed under the Creative Commons Attribution-Share Alike (CC BY-SA-4.0) License.
https://creativecommons.org/licenses/by/4.0/legalcode</dc:description>
  <cp:lastModifiedBy>Charles Wilson</cp:lastModifiedBy>
  <cp:revision>12</cp:revision>
  <cp:lastPrinted>2025-01-23T20:08:00Z</cp:lastPrinted>
  <dcterms:created xsi:type="dcterms:W3CDTF">2026-02-20T17:33:00Z</dcterms:created>
  <dcterms:modified xsi:type="dcterms:W3CDTF">2026-02-23T18:59:00Z</dcterms:modified>
  <cp:category/>
</cp:coreProperties>
</file>