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3FD9A317" w:rsidR="00637BF5" w:rsidRPr="00637BF5" w:rsidRDefault="00637BF5" w:rsidP="00C15EAF">
      <w:pPr>
        <w:spacing w:after="0"/>
      </w:pPr>
      <w:r>
        <w:t xml:space="preserve">Version </w:t>
      </w:r>
      <w:r w:rsidR="007255F7">
        <w:t>1</w:t>
      </w:r>
      <w:r w:rsidR="00456A7F">
        <w:t>1</w:t>
      </w:r>
    </w:p>
    <w:p w14:paraId="5CB09D6A" w14:textId="20DD8C6D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2F6925">
        <w:rPr>
          <w:noProof/>
        </w:rPr>
        <w:t>1/20/26 11:39 AM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150BF5">
      <w:pPr>
        <w:spacing w:after="0"/>
      </w:pPr>
      <w:r w:rsidRPr="000B50DC">
        <w:t>Garth Scheidemantel</w:t>
      </w:r>
    </w:p>
    <w:p w14:paraId="493FE16F" w14:textId="6487CF8B" w:rsidR="00125936" w:rsidRPr="00826FDB" w:rsidRDefault="00125936" w:rsidP="000B50DC"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499F2E65" w:rsidR="0081397E" w:rsidRPr="00826FDB" w:rsidRDefault="00826FDB"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>. This is necessary given the nature of safety-critical, cyber-physical systems</w:t>
      </w:r>
      <w:r w:rsidR="00D23C9C" w:rsidRPr="00826FDB">
        <w:t>.</w:t>
      </w:r>
    </w:p>
    <w:p w14:paraId="3AB8286A" w14:textId="77777777" w:rsidR="00456A7F" w:rsidRPr="00987ACF" w:rsidRDefault="00456A7F" w:rsidP="00456A7F">
      <w:pPr>
        <w:pStyle w:val="Note"/>
      </w:pPr>
      <w:bookmarkStart w:id="4" w:name="_f5diy2ktdyyf" w:colFirst="0" w:colLast="0"/>
      <w:bookmarkEnd w:id="4"/>
      <w:r w:rsidRPr="00987ACF">
        <w:rPr>
          <w:b/>
          <w:bCs/>
          <w:color w:val="0070C0"/>
        </w:rPr>
        <w:t>Note:</w:t>
      </w:r>
      <w:r w:rsidRPr="00987ACF">
        <w:tab/>
        <w:t xml:space="preserve">Within the </w:t>
      </w:r>
      <w:r w:rsidRPr="004D04D5">
        <w:t>context</w:t>
      </w:r>
      <w:r w:rsidRPr="00987ACF">
        <w:t xml:space="preserve"> of this document, the terms </w:t>
      </w:r>
      <w:r w:rsidRPr="00987ACF">
        <w:rPr>
          <w:b/>
          <w:bCs/>
          <w:i/>
          <w:iCs/>
        </w:rPr>
        <w:t>security</w:t>
      </w:r>
      <w:r w:rsidRPr="00987ACF">
        <w:t xml:space="preserve"> and </w:t>
      </w:r>
      <w:r w:rsidRPr="00987ACF">
        <w:rPr>
          <w:b/>
          <w:bCs/>
          <w:i/>
          <w:iCs/>
        </w:rPr>
        <w:t>cybersecurity</w:t>
      </w:r>
      <w:r w:rsidRPr="00987ACF">
        <w:t xml:space="preserve"> are used interchangeably. It is presumed that the term </w:t>
      </w:r>
      <w:r w:rsidRPr="00987ACF">
        <w:rPr>
          <w:b/>
          <w:bCs/>
          <w:i/>
          <w:iCs/>
        </w:rPr>
        <w:t>security</w:t>
      </w:r>
      <w:r w:rsidRPr="00987ACF">
        <w:t xml:space="preserve"> is being used in reference to </w:t>
      </w:r>
      <w:r w:rsidRPr="00987ACF">
        <w:rPr>
          <w:b/>
          <w:bCs/>
          <w:i/>
          <w:iCs/>
        </w:rPr>
        <w:t>cybersecurity</w:t>
      </w:r>
      <w:r w:rsidRPr="00987ACF">
        <w:t xml:space="preserve"> and not </w:t>
      </w:r>
      <w:r w:rsidRPr="00987ACF">
        <w:rPr>
          <w:b/>
          <w:bCs/>
          <w:i/>
          <w:iCs/>
        </w:rPr>
        <w:t>physical security</w:t>
      </w:r>
      <w:r w:rsidRPr="00987ACF">
        <w:t>.</w:t>
      </w:r>
    </w:p>
    <w:p w14:paraId="51E64A69" w14:textId="77777777" w:rsidR="00637BF5" w:rsidRDefault="00637BF5" w:rsidP="00637BF5">
      <w:pPr>
        <w:pStyle w:val="Heading1"/>
      </w:pPr>
      <w:r>
        <w:t>License</w:t>
      </w:r>
    </w:p>
    <w:p w14:paraId="31A455CB" w14:textId="23AC6C61" w:rsidR="001E0FE6" w:rsidRPr="001E0FE6" w:rsidRDefault="001E0FE6" w:rsidP="001E0FE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This work was </w:t>
      </w:r>
      <w:r w:rsidR="00C830FE">
        <w:rPr>
          <w:color w:val="000000"/>
          <w:lang w:val="en-US"/>
        </w:rPr>
        <w:t xml:space="preserve">originally </w:t>
      </w:r>
      <w:r>
        <w:rPr>
          <w:color w:val="000000"/>
          <w:lang w:val="en-US"/>
        </w:rPr>
        <w:t xml:space="preserve">created by </w:t>
      </w:r>
      <w:r w:rsidR="00C830FE">
        <w:rPr>
          <w:b/>
          <w:bCs/>
          <w:color w:val="000000"/>
          <w:lang w:val="en-US"/>
        </w:rPr>
        <w:t>Motional</w:t>
      </w:r>
      <w:r>
        <w:rPr>
          <w:color w:val="000000"/>
          <w:lang w:val="en-US"/>
        </w:rPr>
        <w:t xml:space="preserve"> and is licensed under the </w:t>
      </w:r>
      <w:r>
        <w:rPr>
          <w:b/>
          <w:bCs/>
          <w:color w:val="000000"/>
          <w:lang w:val="en-US"/>
        </w:rPr>
        <w:t>Creative Commons Attribution-Share Alike (CC BY-SA-4.0)</w:t>
      </w:r>
      <w:r>
        <w:rPr>
          <w:color w:val="000000"/>
          <w:lang w:val="en-US"/>
        </w:rPr>
        <w:t xml:space="preserve"> License.</w:t>
      </w:r>
    </w:p>
    <w:p w14:paraId="1A1C7E80" w14:textId="0F37EB2C" w:rsidR="000B50DC" w:rsidRDefault="001E0FE6" w:rsidP="001E0FE6">
      <w:pPr>
        <w:rPr>
          <w:sz w:val="40"/>
          <w:szCs w:val="40"/>
        </w:rPr>
      </w:pPr>
      <w:hyperlink r:id="rId7" w:history="1">
        <w:r w:rsidRPr="00FB62C5">
          <w:rPr>
            <w:rStyle w:val="Hyperlink"/>
            <w:rFonts w:cs="Courier New"/>
            <w:bCs/>
            <w:sz w:val="22"/>
            <w:lang w:val="en-US"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  <w:color w:val="0133EA"/>
          <w:lang w:val="en-US"/>
        </w:rPr>
        <w:t xml:space="preserve"> </w:t>
      </w:r>
      <w:r w:rsidR="000B50DC"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5DAD82C9">
            <wp:extent cx="5943598" cy="1925498"/>
            <wp:effectExtent l="0" t="0" r="63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8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 w:rsidP="00150BF5">
      <w:pPr>
        <w:pStyle w:val="Heading1"/>
        <w:spacing w:after="0" w:line="240" w:lineRule="auto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5139D7B1" w14:textId="4B433687" w:rsidR="00AC5B39" w:rsidRDefault="00AC5B39" w:rsidP="00150BF5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72C3" w14:textId="3FC81A33" w:rsidR="007066BA" w:rsidRDefault="007066BA" w:rsidP="007066BA"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20D85F9C" w14:textId="77777777" w:rsidR="004E0ABF" w:rsidRDefault="004E0ABF">
      <w:pPr>
        <w:spacing w:after="0"/>
        <w:jc w:val="left"/>
      </w:pPr>
      <w:r>
        <w:br w:type="page"/>
      </w:r>
    </w:p>
    <w:p w14:paraId="629E67EB" w14:textId="2020AEA3" w:rsidR="007066BA" w:rsidRDefault="007066BA" w:rsidP="007066BA">
      <w:r>
        <w:lastRenderedPageBreak/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</w:t>
      </w:r>
      <w:r w:rsidR="004E0ABF">
        <w:t>4</w:t>
      </w:r>
      <w:r>
        <w:t xml:space="preserve">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77B42B47" w14:textId="2217FF81" w:rsidR="004E0ABF" w:rsidRDefault="004E0ABF" w:rsidP="007066BA">
      <w:pPr>
        <w:pStyle w:val="ListParagraph"/>
        <w:numPr>
          <w:ilvl w:val="0"/>
          <w:numId w:val="2"/>
        </w:numPr>
        <w:ind w:left="270" w:hanging="270"/>
      </w:pPr>
      <w:r>
        <w:t>Bug Class</w:t>
      </w:r>
    </w:p>
    <w:p w14:paraId="3D7B83D6" w14:textId="06DF868C" w:rsidR="004E0ABF" w:rsidRDefault="004E0ABF" w:rsidP="00A30CB2">
      <w:pPr>
        <w:spacing w:after="0"/>
        <w:rPr>
          <w:sz w:val="32"/>
          <w:szCs w:val="32"/>
        </w:rPr>
      </w:pPr>
      <w:r>
        <w:t xml:space="preserve">The set of </w:t>
      </w:r>
      <w:r w:rsidRPr="00A30CB2">
        <w:rPr>
          <w:b/>
          <w:bCs/>
        </w:rPr>
        <w:t>bug class</w:t>
      </w:r>
      <w:r>
        <w:t xml:space="preserve"> values is taken from the </w:t>
      </w:r>
      <w:r w:rsidRPr="004E0ABF">
        <w:rPr>
          <w:b/>
          <w:bCs/>
          <w:color w:val="000000" w:themeColor="text1"/>
        </w:rPr>
        <w:t>NIST SP 800-231 Bugs Framework</w:t>
      </w:r>
      <w:r>
        <w:rPr>
          <w:b/>
          <w:bCs/>
          <w:color w:val="000000" w:themeColor="text1"/>
        </w:rPr>
        <w:t xml:space="preserve"> </w:t>
      </w:r>
      <w:r w:rsidRPr="004E0ABF">
        <w:rPr>
          <w:b/>
          <w:bCs/>
          <w:color w:val="0070C0"/>
          <w:vertAlign w:val="superscript"/>
        </w:rPr>
        <w:t>[4]</w:t>
      </w:r>
      <w:r>
        <w:rPr>
          <w:color w:val="000000" w:themeColor="text1"/>
        </w:rPr>
        <w:t xml:space="preserve"> d</w:t>
      </w:r>
      <w:r w:rsidRPr="004E0ABF">
        <w:rPr>
          <w:color w:val="000000" w:themeColor="text1"/>
        </w:rPr>
        <w:t>ocument.</w:t>
      </w:r>
      <w:r>
        <w:br w:type="page"/>
      </w:r>
    </w:p>
    <w:p w14:paraId="57046613" w14:textId="27D8A696" w:rsidR="00AC5B39" w:rsidRDefault="007066BA" w:rsidP="00AC5B39">
      <w:pPr>
        <w:pStyle w:val="Heading2"/>
      </w:pPr>
      <w:r>
        <w:lastRenderedPageBreak/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2129D543" w14:textId="50D35E7B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683" w14:textId="06FFC3DF" w:rsidR="007066BA" w:rsidRDefault="00604A1B" w:rsidP="00604A1B">
      <w:pPr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</w:t>
      </w:r>
      <w:r w:rsidRPr="004E0ABF">
        <w:rPr>
          <w:b/>
          <w:bCs/>
        </w:rPr>
        <w:t>security priority category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92CFD9A" w14:textId="0CE880E0" w:rsidR="004E0ABF" w:rsidRDefault="004E0ABF" w:rsidP="004E0ABF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 xml:space="preserve">The </w:t>
      </w:r>
      <w:r w:rsidRPr="004E0ABF">
        <w:rPr>
          <w:b/>
          <w:bCs/>
        </w:rPr>
        <w:t>security priority category</w:t>
      </w:r>
      <w:r>
        <w:t xml:space="preserve"> values should be well-defined such as </w:t>
      </w:r>
      <w:r w:rsidRPr="004E0ABF">
        <w:rPr>
          <w:b/>
          <w:bCs/>
        </w:rPr>
        <w:t>low</w:t>
      </w:r>
      <w:r>
        <w:t xml:space="preserve">, </w:t>
      </w:r>
      <w:r w:rsidRPr="004E0ABF">
        <w:rPr>
          <w:b/>
          <w:bCs/>
        </w:rPr>
        <w:t>medium</w:t>
      </w:r>
      <w:r>
        <w:t xml:space="preserve">, and </w:t>
      </w:r>
      <w:r w:rsidRPr="004E0ABF">
        <w:rPr>
          <w:b/>
          <w:bCs/>
        </w:rPr>
        <w:t>high</w:t>
      </w:r>
      <w:r>
        <w:t xml:space="preserve">. </w:t>
      </w:r>
      <w:r w:rsidR="00587390">
        <w:t xml:space="preserve">A </w:t>
      </w:r>
      <w:r w:rsidR="00587390" w:rsidRPr="00587390">
        <w:rPr>
          <w:b/>
          <w:bCs/>
        </w:rPr>
        <w:t>may do</w:t>
      </w:r>
      <w:r w:rsidR="00587390">
        <w:t xml:space="preserve"> / </w:t>
      </w:r>
      <w:r w:rsidR="00587390" w:rsidRPr="00587390">
        <w:rPr>
          <w:b/>
          <w:bCs/>
        </w:rPr>
        <w:t>must do</w:t>
      </w:r>
      <w:r w:rsidR="00587390">
        <w:t xml:space="preserve"> value set may also be used in situations where there is a clear </w:t>
      </w:r>
      <w:r w:rsidR="00857C87">
        <w:t>distinction</w:t>
      </w:r>
      <w:r w:rsidR="00587390">
        <w:t xml:space="preserve">. </w:t>
      </w:r>
      <w:r>
        <w:t>The determinants for these should documented in such a way that enables any competent cybersecurity SME to apply them consistently.</w:t>
      </w: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</w:p>
          <w:p w14:paraId="7F3F5FB2" w14:textId="1B450CF0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Development SME</w:t>
            </w:r>
          </w:p>
          <w:p w14:paraId="13609FF6" w14:textId="2C75D32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1D36CD4F" w14:textId="57DC6A07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C52A" w14:textId="0757C900" w:rsidR="00604A1B" w:rsidRDefault="00604A1B" w:rsidP="00604A1B"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3392BE9" w14:textId="3DDC641D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14C8B1CE" wp14:editId="7FCC5A34">
            <wp:extent cx="4464153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3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20CB" w14:textId="55F1AA67" w:rsidR="000B50DC" w:rsidRPr="00125936" w:rsidRDefault="002B4458" w:rsidP="00125936">
      <w:pPr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</w:t>
      </w:r>
      <w:r w:rsidR="007255F7">
        <w:t xml:space="preserve">created and a </w:t>
      </w:r>
      <w:r w:rsidR="007255F7" w:rsidRPr="00FA6C27">
        <w:rPr>
          <w:b/>
          <w:bCs/>
        </w:rPr>
        <w:t>Security Options Application Report</w:t>
      </w:r>
      <w:r w:rsidR="007255F7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738691C" w14:textId="48F670EE" w:rsidR="004E0ABF" w:rsidRPr="004E0ABF" w:rsidRDefault="004E0ABF" w:rsidP="004E0ABF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E0ABF">
        <w:rPr>
          <w:b/>
          <w:bCs/>
          <w:color w:val="000000" w:themeColor="text1"/>
        </w:rPr>
        <w:t>NIST SP 800-231 Bugs Framework (BF): Formalizing Cybersecurity Weaknesses and Vulnerabilities</w:t>
      </w:r>
      <w:r>
        <w:rPr>
          <w:color w:val="000000" w:themeColor="text1"/>
        </w:rPr>
        <w:br/>
      </w:r>
      <w:hyperlink r:id="rId14" w:history="1">
        <w:r w:rsidRPr="004E0ABF">
          <w:rPr>
            <w:rStyle w:val="Hyperlink"/>
            <w:rFonts w:cs="Courier New"/>
            <w:szCs w:val="24"/>
          </w:rPr>
          <w:t>https://nvlpubs.nist.gov/nistpubs/SpecialPublications/NIST.SP.800-231.pdf</w:t>
        </w:r>
      </w:hyperlink>
      <w:r w:rsidRPr="004E0ABF">
        <w:rPr>
          <w:color w:val="000000" w:themeColor="text1"/>
          <w:sz w:val="24"/>
          <w:szCs w:val="24"/>
        </w:rPr>
        <w:t xml:space="preserve"> </w:t>
      </w:r>
    </w:p>
    <w:p w14:paraId="0000000D" w14:textId="77777777" w:rsidR="0081397E" w:rsidRDefault="0081397E"/>
    <w:sectPr w:rsidR="0081397E" w:rsidSect="00F50CC5">
      <w:footerReference w:type="even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FA0EB" w14:textId="77777777" w:rsidR="000D6E75" w:rsidRDefault="000D6E75" w:rsidP="00F50CC5">
      <w:pPr>
        <w:spacing w:line="240" w:lineRule="auto"/>
      </w:pPr>
      <w:r>
        <w:separator/>
      </w:r>
    </w:p>
  </w:endnote>
  <w:endnote w:type="continuationSeparator" w:id="0">
    <w:p w14:paraId="1A46D469" w14:textId="77777777" w:rsidR="000D6E75" w:rsidRDefault="000D6E75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8DA1A" w14:textId="77777777" w:rsidR="000D6E75" w:rsidRDefault="000D6E75" w:rsidP="00F50CC5">
      <w:pPr>
        <w:spacing w:line="240" w:lineRule="auto"/>
      </w:pPr>
      <w:r>
        <w:separator/>
      </w:r>
    </w:p>
  </w:footnote>
  <w:footnote w:type="continuationSeparator" w:id="0">
    <w:p w14:paraId="5A8E0ACB" w14:textId="77777777" w:rsidR="000D6E75" w:rsidRDefault="000D6E75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0D6E75"/>
    <w:rsid w:val="00101723"/>
    <w:rsid w:val="00125936"/>
    <w:rsid w:val="00150BF5"/>
    <w:rsid w:val="001E0FE6"/>
    <w:rsid w:val="002A04CF"/>
    <w:rsid w:val="002B4458"/>
    <w:rsid w:val="002F6925"/>
    <w:rsid w:val="0036567E"/>
    <w:rsid w:val="00425C51"/>
    <w:rsid w:val="00456A7F"/>
    <w:rsid w:val="004E0ABF"/>
    <w:rsid w:val="00524B5D"/>
    <w:rsid w:val="00587390"/>
    <w:rsid w:val="005A52A8"/>
    <w:rsid w:val="005C3DDF"/>
    <w:rsid w:val="00604A1B"/>
    <w:rsid w:val="006303D4"/>
    <w:rsid w:val="00637BF5"/>
    <w:rsid w:val="007066BA"/>
    <w:rsid w:val="007163EF"/>
    <w:rsid w:val="007255F7"/>
    <w:rsid w:val="00756F91"/>
    <w:rsid w:val="007679D1"/>
    <w:rsid w:val="007F6879"/>
    <w:rsid w:val="0081397E"/>
    <w:rsid w:val="00826FDB"/>
    <w:rsid w:val="00857C87"/>
    <w:rsid w:val="0087278A"/>
    <w:rsid w:val="00905475"/>
    <w:rsid w:val="00944483"/>
    <w:rsid w:val="009B301D"/>
    <w:rsid w:val="009C088B"/>
    <w:rsid w:val="00A30CB2"/>
    <w:rsid w:val="00AC5B39"/>
    <w:rsid w:val="00B5355A"/>
    <w:rsid w:val="00BB6FBA"/>
    <w:rsid w:val="00BE30E1"/>
    <w:rsid w:val="00C15EAF"/>
    <w:rsid w:val="00C830FE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FE6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  <w:style w:type="paragraph" w:customStyle="1" w:styleId="Note">
    <w:name w:val="Note"/>
    <w:basedOn w:val="Normal"/>
    <w:qFormat/>
    <w:rsid w:val="00456A7F"/>
    <w:pPr>
      <w:ind w:left="806" w:hanging="806"/>
    </w:pPr>
    <w:rPr>
      <w:rFonts w:eastAsia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nvlpubs.nist.gov/nistpubs/SpecialPublications/NIST.SP.800-23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619</Words>
  <Characters>3615</Characters>
  <Application>Microsoft Office Word</Application>
  <DocSecurity>0</DocSecurity>
  <Lines>76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4183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3</cp:revision>
  <cp:lastPrinted>2026-01-20T18:39:00Z</cp:lastPrinted>
  <dcterms:created xsi:type="dcterms:W3CDTF">2026-01-20T18:39:00Z</dcterms:created>
  <dcterms:modified xsi:type="dcterms:W3CDTF">2026-01-20T18:40:00Z</dcterms:modified>
  <cp:category/>
</cp:coreProperties>
</file>