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0B94DD7" w:rsidR="00E27AF5" w:rsidRDefault="00F324D4">
      <w:pPr>
        <w:pStyle w:val="Title"/>
        <w:jc w:val="center"/>
      </w:pPr>
      <w:r>
        <w:t>Code Signing</w:t>
      </w:r>
    </w:p>
    <w:p w14:paraId="578FE19B" w14:textId="7B4FD5B2" w:rsidR="00075464" w:rsidRDefault="00B46F10" w:rsidP="00075464">
      <w:pPr>
        <w:pStyle w:val="Heading1"/>
      </w:pPr>
      <w:bookmarkStart w:id="0" w:name="_pjac2je3ttgf" w:colFirst="0" w:colLast="0"/>
      <w:bookmarkEnd w:id="0"/>
      <w:r>
        <w:t>Revision</w:t>
      </w:r>
    </w:p>
    <w:p w14:paraId="40C5FA9C" w14:textId="6DA23BEA" w:rsidR="000D4FB9" w:rsidRPr="000D4FB9" w:rsidRDefault="000D4FB9" w:rsidP="000D4FB9">
      <w:r>
        <w:t xml:space="preserve">Version </w:t>
      </w:r>
      <w:r w:rsidR="00794EA0">
        <w:t>4</w:t>
      </w:r>
    </w:p>
    <w:p w14:paraId="45CEE66D" w14:textId="5E4B59B1" w:rsidR="00075464" w:rsidRDefault="00075464" w:rsidP="00075464">
      <w:pPr>
        <w:jc w:val="both"/>
      </w:pPr>
      <w:r>
        <w:fldChar w:fldCharType="begin"/>
      </w:r>
      <w:r>
        <w:instrText xml:space="preserve"> DATE \@ "M/d/yy h:mm am/pm" </w:instrText>
      </w:r>
      <w:r>
        <w:fldChar w:fldCharType="separate"/>
      </w:r>
      <w:r w:rsidR="0035695D">
        <w:rPr>
          <w:noProof/>
        </w:rPr>
        <w:t>5/25/22 7:53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0BA474A7" w:rsidR="00E27AF5" w:rsidRDefault="008C1D59">
      <w:pPr>
        <w:jc w:val="both"/>
      </w:pPr>
      <w:r>
        <w:t xml:space="preserve">This document describes the </w:t>
      </w:r>
      <w:r w:rsidR="00F324D4">
        <w:t>process used to sign code and other artifacts</w:t>
      </w:r>
      <w:r>
        <w:t>.</w:t>
      </w:r>
    </w:p>
    <w:p w14:paraId="1E78C3C2" w14:textId="347F1628" w:rsidR="00F324D4" w:rsidRDefault="00F324D4" w:rsidP="00F324D4">
      <w:pPr>
        <w:pStyle w:val="Heading1"/>
      </w:pPr>
      <w:bookmarkStart w:id="1" w:name="_54bgemmh6zb8" w:colFirst="0" w:colLast="0"/>
      <w:bookmarkStart w:id="2" w:name="_olcs7d4b90ea" w:colFirst="0" w:colLast="0"/>
      <w:bookmarkStart w:id="3" w:name="_f5diy2ktdyyf" w:colFirst="0" w:colLast="0"/>
      <w:bookmarkEnd w:id="1"/>
      <w:bookmarkEnd w:id="2"/>
      <w:bookmarkEnd w:id="3"/>
      <w:r>
        <w:t>Group / Owner</w:t>
      </w:r>
    </w:p>
    <w:p w14:paraId="19FAB250" w14:textId="05A51F73" w:rsidR="00F324D4" w:rsidRDefault="00F324D4" w:rsidP="00F324D4">
      <w:pPr>
        <w:jc w:val="both"/>
      </w:pPr>
      <w:r>
        <w:t>DevOps / Information Systems Security Developer</w:t>
      </w:r>
    </w:p>
    <w:p w14:paraId="5AEBA66C" w14:textId="0DA2320A" w:rsidR="00F324D4" w:rsidRDefault="00F324D4" w:rsidP="00F324D4">
      <w:pPr>
        <w:pStyle w:val="Heading1"/>
      </w:pPr>
      <w:r>
        <w:t>Motivation</w:t>
      </w:r>
    </w:p>
    <w:p w14:paraId="1D5C56DA" w14:textId="41AACBC0" w:rsidR="00F324D4" w:rsidRPr="00F324D4" w:rsidRDefault="00F324D4" w:rsidP="00F324D4">
      <w:pPr>
        <w:jc w:val="both"/>
        <w:rPr>
          <w:lang w:val="en-US"/>
        </w:rPr>
      </w:pPr>
      <w:r w:rsidRPr="00F324D4">
        <w:rPr>
          <w:rFonts w:hint="eastAsia"/>
          <w:lang w:val="en-US"/>
        </w:rPr>
        <w:t>This document is motivated by the need to adopt best practices regarding management of source code</w:t>
      </w:r>
      <w:r w:rsidR="00D97404">
        <w:rPr>
          <w:lang w:val="en-US"/>
        </w:rPr>
        <w:t>, specifically code signing,</w:t>
      </w:r>
      <w:r w:rsidRPr="00F324D4">
        <w:rPr>
          <w:rFonts w:hint="eastAsia"/>
          <w:lang w:val="en-US"/>
        </w:rPr>
        <w:t xml:space="preserve"> to allow for certification of compliance to standards such as </w:t>
      </w:r>
      <w:r w:rsidRPr="00F324D4">
        <w:rPr>
          <w:rFonts w:hint="eastAsia"/>
          <w:b/>
          <w:bCs/>
          <w:lang w:val="en-US"/>
        </w:rPr>
        <w:t>ISO 21434</w:t>
      </w:r>
      <w:r w:rsidRPr="00F324D4">
        <w:rPr>
          <w:rFonts w:hint="eastAsia"/>
          <w:lang w:val="en-US"/>
        </w:rPr>
        <w:t xml:space="preserve"> and </w:t>
      </w:r>
      <w:r w:rsidRPr="00F324D4">
        <w:rPr>
          <w:b/>
          <w:bCs/>
          <w:lang w:val="en-US"/>
        </w:rPr>
        <w:t xml:space="preserve">ISO </w:t>
      </w:r>
      <w:r w:rsidRPr="00F324D4">
        <w:rPr>
          <w:rFonts w:hint="eastAsia"/>
          <w:b/>
          <w:bCs/>
          <w:lang w:val="en-US"/>
        </w:rPr>
        <w:t>26262</w:t>
      </w:r>
      <w:r>
        <w:t>.</w:t>
      </w:r>
    </w:p>
    <w:p w14:paraId="07160995" w14:textId="77777777" w:rsidR="000D4FB9" w:rsidRDefault="000D4FB9" w:rsidP="000D4FB9">
      <w:pPr>
        <w:pStyle w:val="Heading1"/>
        <w:jc w:val="both"/>
      </w:pPr>
      <w:r>
        <w:t>License</w:t>
      </w:r>
    </w:p>
    <w:p w14:paraId="737A5C90" w14:textId="2EAC15C6" w:rsidR="000D4FB9" w:rsidRDefault="000D4FB9" w:rsidP="000D4FB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F324D4">
        <w:rPr>
          <w:b/>
          <w:bCs/>
          <w:lang w:val="en-US"/>
        </w:rPr>
        <w:t xml:space="preserve"> BY</w:t>
      </w:r>
      <w:r w:rsidRPr="00144DE6">
        <w:rPr>
          <w:b/>
          <w:bCs/>
          <w:lang w:val="en-US"/>
        </w:rPr>
        <w:t>-SA</w:t>
      </w:r>
      <w:r w:rsidR="00F324D4">
        <w:rPr>
          <w:b/>
          <w:bCs/>
          <w:lang w:val="en-US"/>
        </w:rPr>
        <w:t>-4.0</w:t>
      </w:r>
      <w:r w:rsidRPr="00144DE6">
        <w:rPr>
          <w:b/>
          <w:bCs/>
          <w:lang w:val="en-US"/>
        </w:rPr>
        <w:t>)</w:t>
      </w:r>
      <w:r w:rsidRPr="00144DE6">
        <w:rPr>
          <w:lang w:val="en-US"/>
        </w:rPr>
        <w:t xml:space="preserve"> License</w:t>
      </w:r>
      <w:r w:rsidRPr="00533832">
        <w:t>.</w:t>
      </w:r>
    </w:p>
    <w:p w14:paraId="383DEC6F" w14:textId="77777777" w:rsidR="000D4FB9" w:rsidRDefault="007569EF" w:rsidP="000D4FB9">
      <w:pPr>
        <w:pStyle w:val="FirstParagraph"/>
        <w:jc w:val="both"/>
      </w:pPr>
      <w:hyperlink r:id="rId8" w:history="1">
        <w:r w:rsidR="000D4FB9" w:rsidRPr="00FE6B19">
          <w:rPr>
            <w:rStyle w:val="Hyperlink"/>
            <w:rFonts w:ascii="Courier New" w:hAnsi="Courier New" w:cs="Courier New"/>
            <w:b/>
            <w:bCs/>
          </w:rPr>
          <w:t>https://creativecommons.org/licenses/by/4.0/legalcode</w:t>
        </w:r>
      </w:hyperlink>
    </w:p>
    <w:p w14:paraId="4FA4AB63" w14:textId="77777777" w:rsidR="000D4FB9" w:rsidRDefault="000D4FB9">
      <w:pPr>
        <w:rPr>
          <w:sz w:val="40"/>
          <w:szCs w:val="40"/>
        </w:rPr>
      </w:pPr>
      <w:r>
        <w:br w:type="page"/>
      </w:r>
    </w:p>
    <w:p w14:paraId="00000008" w14:textId="112B929F" w:rsidR="00E27AF5" w:rsidRDefault="008C1D59">
      <w:pPr>
        <w:pStyle w:val="Heading1"/>
      </w:pPr>
      <w:r>
        <w:lastRenderedPageBreak/>
        <w:t>Overview</w:t>
      </w:r>
    </w:p>
    <w:p w14:paraId="125B9956" w14:textId="33B6259A" w:rsidR="00F324D4" w:rsidRPr="00B739EE" w:rsidRDefault="00B739EE" w:rsidP="00F324D4">
      <w:pPr>
        <w:spacing w:after="240"/>
        <w:jc w:val="both"/>
      </w:pPr>
      <w:r>
        <w:t>Code signing is a critical element of the process of ensuring overall system cybersecurity</w:t>
      </w:r>
      <w:r w:rsidR="00D46690" w:rsidRPr="00B739EE">
        <w:t>.</w:t>
      </w:r>
      <w:r>
        <w:t xml:space="preserve"> Although code signing may be performed manually, it is not recommended to take this approach. The security of the signing keys as well as general access to the process are two areas which need to be thoroughly considered. The greater the level of security of the signing system itself, the greater the certainty that no inappropriate use has been made of it. </w:t>
      </w:r>
    </w:p>
    <w:p w14:paraId="03CEA3E9" w14:textId="50EB4189" w:rsidR="00F324D4" w:rsidRDefault="00F324D4" w:rsidP="00F324D4">
      <w:pPr>
        <w:spacing w:after="240"/>
        <w:jc w:val="both"/>
      </w:pPr>
      <w:r>
        <w:t>The following diagram illustrates the process to be used:</w:t>
      </w:r>
    </w:p>
    <w:p w14:paraId="6C3E0BA5" w14:textId="2A4F6745" w:rsidR="00F324D4" w:rsidRDefault="00F324D4" w:rsidP="00B739EE">
      <w:pPr>
        <w:spacing w:after="240"/>
        <w:jc w:val="center"/>
      </w:pPr>
      <w:r>
        <w:rPr>
          <w:noProof/>
        </w:rPr>
        <w:drawing>
          <wp:inline distT="0" distB="0" distL="0" distR="0" wp14:anchorId="61D7EB4F" wp14:editId="6E3C52FB">
            <wp:extent cx="5938898" cy="2425065"/>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8898" cy="2425065"/>
                    </a:xfrm>
                    <a:prstGeom prst="rect">
                      <a:avLst/>
                    </a:prstGeom>
                  </pic:spPr>
                </pic:pic>
              </a:graphicData>
            </a:graphic>
          </wp:inline>
        </w:drawing>
      </w:r>
    </w:p>
    <w:p w14:paraId="43398D85" w14:textId="6C4CA4C9" w:rsidR="00B739EE" w:rsidRDefault="00B739EE" w:rsidP="00B739EE">
      <w:pPr>
        <w:spacing w:after="240"/>
        <w:ind w:left="810" w:hanging="810"/>
        <w:jc w:val="both"/>
      </w:pPr>
      <w:r w:rsidRPr="00B739EE">
        <w:rPr>
          <w:b/>
          <w:bCs/>
          <w:color w:val="0070C0"/>
        </w:rPr>
        <w:t>Note:</w:t>
      </w:r>
      <w:r w:rsidRPr="00B739EE">
        <w:rPr>
          <w:b/>
          <w:bCs/>
          <w:color w:val="0070C0"/>
        </w:rPr>
        <w:tab/>
      </w:r>
      <w:r>
        <w:t>The signing process outlined in this document is a representative the handling of a single object type for a single target platform. In practice, a diversity of both object type and target platform exists. It is presumed that the reader is aware of the implications of this and will emplace those additional activities needed to accommodate this diversity.</w:t>
      </w:r>
    </w:p>
    <w:p w14:paraId="1DDBF4B3" w14:textId="77777777" w:rsidR="00794EA0" w:rsidRDefault="00794EA0" w:rsidP="00794EA0">
      <w:pPr>
        <w:spacing w:after="240"/>
      </w:pPr>
      <w:bookmarkStart w:id="4" w:name="_ka2wojif16d2" w:colFirst="0" w:colLast="0"/>
      <w:bookmarkEnd w:id="4"/>
      <w:r>
        <w:t>If a dedicated signing server is employed, the following segregation is recommended:</w:t>
      </w:r>
    </w:p>
    <w:p w14:paraId="174317E8" w14:textId="39F3C8FB" w:rsidR="009D17CB" w:rsidRDefault="00794EA0">
      <w:pPr>
        <w:rPr>
          <w:sz w:val="40"/>
          <w:szCs w:val="40"/>
        </w:rPr>
      </w:pPr>
      <w:r>
        <w:rPr>
          <w:noProof/>
        </w:rPr>
        <w:drawing>
          <wp:inline distT="0" distB="0" distL="0" distR="0" wp14:anchorId="5872167B" wp14:editId="1F0D5E3A">
            <wp:extent cx="5943600" cy="1990090"/>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r w:rsidR="009D17CB">
        <w:br w:type="page"/>
      </w:r>
    </w:p>
    <w:p w14:paraId="6B844A80" w14:textId="16CE9B4A" w:rsidR="009D17CB" w:rsidRDefault="00F324D4" w:rsidP="009D17CB">
      <w:pPr>
        <w:pStyle w:val="Heading1"/>
      </w:pPr>
      <w:r>
        <w:lastRenderedPageBreak/>
        <w:t>Process</w:t>
      </w:r>
    </w:p>
    <w:p w14:paraId="4E5C784C" w14:textId="2D8E7A20" w:rsidR="00F324D4" w:rsidRDefault="00F324D4" w:rsidP="00F324D4">
      <w:pPr>
        <w:pStyle w:val="Heading2"/>
        <w:jc w:val="both"/>
      </w:pPr>
      <w:r>
        <w:t>Create Signing Submission</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882"/>
      </w:tblGrid>
      <w:tr w:rsidR="00F324D4" w14:paraId="46D44561" w14:textId="77777777" w:rsidTr="005079B9">
        <w:tc>
          <w:tcPr>
            <w:tcW w:w="1598" w:type="dxa"/>
            <w:shd w:val="clear" w:color="auto" w:fill="auto"/>
            <w:tcMar>
              <w:top w:w="100" w:type="dxa"/>
              <w:left w:w="100" w:type="dxa"/>
              <w:bottom w:w="100" w:type="dxa"/>
              <w:right w:w="100" w:type="dxa"/>
            </w:tcMar>
            <w:vAlign w:val="center"/>
          </w:tcPr>
          <w:p w14:paraId="4C7FCBB5" w14:textId="77777777" w:rsidR="00F324D4" w:rsidRPr="00DC7542" w:rsidRDefault="00F324D4" w:rsidP="00956034">
            <w:pPr>
              <w:widowControl w:val="0"/>
              <w:spacing w:line="240" w:lineRule="auto"/>
              <w:jc w:val="right"/>
              <w:rPr>
                <w:b/>
                <w:bCs/>
              </w:rPr>
            </w:pPr>
            <w:bookmarkStart w:id="5" w:name="_ye5p5nl2nm8x" w:colFirst="0" w:colLast="0"/>
            <w:bookmarkEnd w:id="5"/>
            <w:r w:rsidRPr="00DC7542">
              <w:rPr>
                <w:b/>
                <w:bCs/>
              </w:rPr>
              <w:t>Inputs</w:t>
            </w:r>
          </w:p>
        </w:tc>
        <w:tc>
          <w:tcPr>
            <w:tcW w:w="3882" w:type="dxa"/>
            <w:shd w:val="clear" w:color="auto" w:fill="auto"/>
            <w:tcMar>
              <w:top w:w="100" w:type="dxa"/>
              <w:left w:w="100" w:type="dxa"/>
              <w:bottom w:w="100" w:type="dxa"/>
              <w:right w:w="100" w:type="dxa"/>
            </w:tcMar>
          </w:tcPr>
          <w:p w14:paraId="6A7061B1" w14:textId="77777777" w:rsidR="00F324D4" w:rsidRDefault="005079B9" w:rsidP="00956034">
            <w:pPr>
              <w:widowControl w:val="0"/>
              <w:spacing w:line="240" w:lineRule="auto"/>
            </w:pPr>
            <w:r>
              <w:t>Unsigned object</w:t>
            </w:r>
          </w:p>
          <w:p w14:paraId="5DB6BF43" w14:textId="05EC7DFF" w:rsidR="005079B9" w:rsidRDefault="005079B9" w:rsidP="00956034">
            <w:pPr>
              <w:widowControl w:val="0"/>
              <w:spacing w:line="240" w:lineRule="auto"/>
            </w:pPr>
            <w:r>
              <w:t>Unsigned object metadata (optional)</w:t>
            </w:r>
          </w:p>
        </w:tc>
      </w:tr>
      <w:tr w:rsidR="00F324D4" w14:paraId="09F1BC66" w14:textId="77777777" w:rsidTr="005079B9">
        <w:trPr>
          <w:trHeight w:val="16"/>
        </w:trPr>
        <w:tc>
          <w:tcPr>
            <w:tcW w:w="1598" w:type="dxa"/>
            <w:shd w:val="clear" w:color="auto" w:fill="auto"/>
            <w:tcMar>
              <w:top w:w="100" w:type="dxa"/>
              <w:left w:w="100" w:type="dxa"/>
              <w:bottom w:w="100" w:type="dxa"/>
              <w:right w:w="100" w:type="dxa"/>
            </w:tcMar>
            <w:vAlign w:val="center"/>
          </w:tcPr>
          <w:p w14:paraId="5876847C" w14:textId="77777777" w:rsidR="00F324D4" w:rsidRPr="00DC7542" w:rsidRDefault="00F324D4" w:rsidP="00956034">
            <w:pPr>
              <w:widowControl w:val="0"/>
              <w:spacing w:line="240" w:lineRule="auto"/>
              <w:jc w:val="right"/>
              <w:rPr>
                <w:b/>
                <w:bCs/>
              </w:rPr>
            </w:pPr>
            <w:r w:rsidRPr="00DC7542">
              <w:rPr>
                <w:b/>
                <w:bCs/>
              </w:rPr>
              <w:t>Outputs</w:t>
            </w:r>
          </w:p>
        </w:tc>
        <w:tc>
          <w:tcPr>
            <w:tcW w:w="3882" w:type="dxa"/>
            <w:shd w:val="clear" w:color="auto" w:fill="auto"/>
            <w:tcMar>
              <w:top w:w="100" w:type="dxa"/>
              <w:left w:w="100" w:type="dxa"/>
              <w:bottom w:w="100" w:type="dxa"/>
              <w:right w:w="100" w:type="dxa"/>
            </w:tcMar>
          </w:tcPr>
          <w:p w14:paraId="13B10AA3" w14:textId="06F6C564" w:rsidR="00F324D4" w:rsidRDefault="005079B9" w:rsidP="00956034">
            <w:pPr>
              <w:widowControl w:val="0"/>
              <w:spacing w:line="240" w:lineRule="auto"/>
            </w:pPr>
            <w:r>
              <w:t>Signing submission</w:t>
            </w:r>
          </w:p>
        </w:tc>
      </w:tr>
      <w:tr w:rsidR="00F324D4" w14:paraId="16D90007" w14:textId="77777777" w:rsidTr="005079B9">
        <w:tc>
          <w:tcPr>
            <w:tcW w:w="1598" w:type="dxa"/>
            <w:shd w:val="clear" w:color="auto" w:fill="auto"/>
            <w:tcMar>
              <w:top w:w="100" w:type="dxa"/>
              <w:left w:w="100" w:type="dxa"/>
              <w:bottom w:w="100" w:type="dxa"/>
              <w:right w:w="100" w:type="dxa"/>
            </w:tcMar>
            <w:vAlign w:val="center"/>
          </w:tcPr>
          <w:p w14:paraId="19D55CD7" w14:textId="77777777" w:rsidR="00F324D4" w:rsidRPr="00DC7542" w:rsidRDefault="00F324D4" w:rsidP="00956034">
            <w:pPr>
              <w:widowControl w:val="0"/>
              <w:spacing w:line="240" w:lineRule="auto"/>
              <w:jc w:val="right"/>
              <w:rPr>
                <w:b/>
                <w:bCs/>
              </w:rPr>
            </w:pPr>
            <w:r w:rsidRPr="00DC7542">
              <w:rPr>
                <w:b/>
                <w:bCs/>
              </w:rPr>
              <w:t>Participants</w:t>
            </w:r>
          </w:p>
        </w:tc>
        <w:tc>
          <w:tcPr>
            <w:tcW w:w="3882" w:type="dxa"/>
            <w:shd w:val="clear" w:color="auto" w:fill="auto"/>
            <w:tcMar>
              <w:top w:w="100" w:type="dxa"/>
              <w:left w:w="100" w:type="dxa"/>
              <w:bottom w:w="100" w:type="dxa"/>
              <w:right w:w="100" w:type="dxa"/>
            </w:tcMar>
          </w:tcPr>
          <w:p w14:paraId="29575808" w14:textId="4E0AB429" w:rsidR="00F324D4" w:rsidRDefault="005079B9" w:rsidP="00956034">
            <w:pPr>
              <w:widowControl w:val="0"/>
              <w:spacing w:line="240" w:lineRule="auto"/>
            </w:pPr>
            <w:r>
              <w:t>Developer (optional)</w:t>
            </w:r>
          </w:p>
        </w:tc>
      </w:tr>
    </w:tbl>
    <w:p w14:paraId="1DE2CD35" w14:textId="77777777" w:rsidR="00F324D4" w:rsidRDefault="00F324D4" w:rsidP="00F324D4"/>
    <w:p w14:paraId="43C2E1DB" w14:textId="77777777" w:rsidR="0096153D" w:rsidRDefault="0096153D" w:rsidP="00F324D4">
      <w:pPr>
        <w:keepNext/>
        <w:spacing w:after="240"/>
        <w:jc w:val="center"/>
      </w:pPr>
      <w:r>
        <w:rPr>
          <w:noProof/>
        </w:rPr>
        <w:drawing>
          <wp:inline distT="0" distB="0" distL="0" distR="0" wp14:anchorId="35734F1D" wp14:editId="4E3AE5DC">
            <wp:extent cx="3657330" cy="44037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58929" cy="4405651"/>
                    </a:xfrm>
                    <a:prstGeom prst="rect">
                      <a:avLst/>
                    </a:prstGeom>
                  </pic:spPr>
                </pic:pic>
              </a:graphicData>
            </a:graphic>
          </wp:inline>
        </w:drawing>
      </w:r>
    </w:p>
    <w:p w14:paraId="2FD8F3EB" w14:textId="555F3DD2" w:rsidR="00F324D4" w:rsidRDefault="00DD27A5" w:rsidP="00F324D4">
      <w:pPr>
        <w:spacing w:after="240"/>
        <w:jc w:val="both"/>
      </w:pPr>
      <w:r>
        <w:t xml:space="preserve">The </w:t>
      </w:r>
      <w:r w:rsidRPr="00DD27A5">
        <w:rPr>
          <w:b/>
          <w:bCs/>
        </w:rPr>
        <w:t>unsigned object</w:t>
      </w:r>
      <w:r>
        <w:t xml:space="preserve"> and optionally </w:t>
      </w:r>
      <w:r w:rsidRPr="00DD27A5">
        <w:rPr>
          <w:b/>
          <w:bCs/>
        </w:rPr>
        <w:t>unsigned object metadata</w:t>
      </w:r>
      <w:r>
        <w:t xml:space="preserve"> are used to create a </w:t>
      </w:r>
      <w:r w:rsidRPr="00DD27A5">
        <w:rPr>
          <w:b/>
          <w:bCs/>
        </w:rPr>
        <w:t>signing submission</w:t>
      </w:r>
      <w:r>
        <w:t xml:space="preserve">. This process may be fully automated or initiated manually by a </w:t>
      </w:r>
      <w:r w:rsidRPr="00DD27A5">
        <w:t>developer</w:t>
      </w:r>
      <w:r>
        <w:t>.</w:t>
      </w:r>
    </w:p>
    <w:p w14:paraId="41D37835" w14:textId="4BEA2AD8" w:rsidR="00DD27A5" w:rsidRDefault="00DD27A5" w:rsidP="00DD27A5">
      <w:pPr>
        <w:spacing w:after="240"/>
        <w:ind w:left="720" w:hanging="720"/>
        <w:jc w:val="both"/>
      </w:pPr>
      <w:r w:rsidRPr="00DD27A5">
        <w:rPr>
          <w:b/>
          <w:bCs/>
          <w:color w:val="0070C0"/>
        </w:rPr>
        <w:t>Note:</w:t>
      </w:r>
      <w:r>
        <w:tab/>
        <w:t>Typically, metadata is required in order to sign objects targeting embedded systems.</w:t>
      </w:r>
    </w:p>
    <w:p w14:paraId="3DD79489" w14:textId="77777777" w:rsidR="00DD27A5" w:rsidRDefault="00DD27A5">
      <w:pPr>
        <w:rPr>
          <w:sz w:val="32"/>
          <w:szCs w:val="32"/>
        </w:rPr>
      </w:pPr>
      <w:r>
        <w:br w:type="page"/>
      </w:r>
    </w:p>
    <w:p w14:paraId="39026CD5" w14:textId="15C190AA" w:rsidR="00F324D4" w:rsidRDefault="00F324D4" w:rsidP="00F324D4">
      <w:pPr>
        <w:pStyle w:val="Heading2"/>
        <w:jc w:val="both"/>
      </w:pPr>
      <w:r>
        <w:lastRenderedPageBreak/>
        <w:t>Submission Ingest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544AAB48" w14:textId="77777777" w:rsidTr="00956034">
        <w:tc>
          <w:tcPr>
            <w:tcW w:w="1598" w:type="dxa"/>
            <w:shd w:val="clear" w:color="auto" w:fill="auto"/>
            <w:tcMar>
              <w:top w:w="100" w:type="dxa"/>
              <w:left w:w="100" w:type="dxa"/>
              <w:bottom w:w="100" w:type="dxa"/>
              <w:right w:w="100" w:type="dxa"/>
            </w:tcMar>
            <w:vAlign w:val="center"/>
          </w:tcPr>
          <w:p w14:paraId="2D1605B7"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0E60B42" w14:textId="2361BCCB" w:rsidR="00F324D4" w:rsidRDefault="005079B9" w:rsidP="00956034">
            <w:pPr>
              <w:widowControl w:val="0"/>
              <w:spacing w:line="240" w:lineRule="auto"/>
            </w:pPr>
            <w:r>
              <w:t>Signing submission</w:t>
            </w:r>
          </w:p>
        </w:tc>
      </w:tr>
      <w:tr w:rsidR="00F324D4" w14:paraId="0EEBAFFC" w14:textId="77777777" w:rsidTr="00956034">
        <w:trPr>
          <w:trHeight w:val="16"/>
        </w:trPr>
        <w:tc>
          <w:tcPr>
            <w:tcW w:w="1598" w:type="dxa"/>
            <w:shd w:val="clear" w:color="auto" w:fill="auto"/>
            <w:tcMar>
              <w:top w:w="100" w:type="dxa"/>
              <w:left w:w="100" w:type="dxa"/>
              <w:bottom w:w="100" w:type="dxa"/>
              <w:right w:w="100" w:type="dxa"/>
            </w:tcMar>
            <w:vAlign w:val="center"/>
          </w:tcPr>
          <w:p w14:paraId="4F99CDD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7A7E43C" w14:textId="5327A1CD" w:rsidR="00F324D4" w:rsidRDefault="005079B9" w:rsidP="00956034">
            <w:pPr>
              <w:widowControl w:val="0"/>
              <w:spacing w:line="240" w:lineRule="auto"/>
            </w:pPr>
            <w:r>
              <w:t>Signing submission (pre-auth)</w:t>
            </w:r>
          </w:p>
        </w:tc>
      </w:tr>
      <w:tr w:rsidR="00F324D4" w14:paraId="1982198D" w14:textId="77777777" w:rsidTr="00956034">
        <w:tc>
          <w:tcPr>
            <w:tcW w:w="1598" w:type="dxa"/>
            <w:shd w:val="clear" w:color="auto" w:fill="auto"/>
            <w:tcMar>
              <w:top w:w="100" w:type="dxa"/>
              <w:left w:w="100" w:type="dxa"/>
              <w:bottom w:w="100" w:type="dxa"/>
              <w:right w:w="100" w:type="dxa"/>
            </w:tcMar>
            <w:vAlign w:val="center"/>
          </w:tcPr>
          <w:p w14:paraId="02CB1664"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426A483" w14:textId="0265096A" w:rsidR="00F324D4" w:rsidRPr="005079B9" w:rsidRDefault="005079B9" w:rsidP="00956034">
            <w:pPr>
              <w:widowControl w:val="0"/>
              <w:spacing w:line="240" w:lineRule="auto"/>
              <w:rPr>
                <w:b/>
                <w:bCs/>
              </w:rPr>
            </w:pPr>
            <w:r w:rsidRPr="005079B9">
              <w:rPr>
                <w:b/>
                <w:bCs/>
              </w:rPr>
              <w:t>none</w:t>
            </w:r>
          </w:p>
        </w:tc>
      </w:tr>
    </w:tbl>
    <w:p w14:paraId="2F1AE62E" w14:textId="77777777" w:rsidR="00F324D4" w:rsidRDefault="00F324D4" w:rsidP="00F324D4"/>
    <w:p w14:paraId="35FD2FC7" w14:textId="77777777" w:rsidR="00F324D4" w:rsidRDefault="00F324D4" w:rsidP="00F324D4">
      <w:pPr>
        <w:keepNext/>
        <w:spacing w:after="240"/>
        <w:jc w:val="center"/>
      </w:pPr>
      <w:r>
        <w:rPr>
          <w:noProof/>
        </w:rPr>
        <w:drawing>
          <wp:inline distT="0" distB="0" distL="0" distR="0" wp14:anchorId="09AC947F" wp14:editId="0A9A650D">
            <wp:extent cx="3989616" cy="4403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89616" cy="4403476"/>
                    </a:xfrm>
                    <a:prstGeom prst="rect">
                      <a:avLst/>
                    </a:prstGeom>
                  </pic:spPr>
                </pic:pic>
              </a:graphicData>
            </a:graphic>
          </wp:inline>
        </w:drawing>
      </w:r>
    </w:p>
    <w:p w14:paraId="4D1EC08E" w14:textId="3E4F338D" w:rsidR="00F324D4" w:rsidRDefault="00DD27A5" w:rsidP="00F324D4">
      <w:pPr>
        <w:spacing w:after="240"/>
        <w:jc w:val="both"/>
      </w:pPr>
      <w:r>
        <w:t xml:space="preserve">The </w:t>
      </w:r>
      <w:r w:rsidRPr="00DD27A5">
        <w:rPr>
          <w:b/>
          <w:bCs/>
        </w:rPr>
        <w:t>signing submission</w:t>
      </w:r>
      <w:r>
        <w:t xml:space="preserve"> is ingested by the signing system</w:t>
      </w:r>
      <w:r w:rsidR="00F324D4">
        <w:t>.</w:t>
      </w:r>
      <w:r>
        <w:t xml:space="preserve"> If the submission is ill-formed, a </w:t>
      </w:r>
      <w:r w:rsidRPr="00B407CC">
        <w:rPr>
          <w:b/>
          <w:bCs/>
        </w:rPr>
        <w:t>submission</w:t>
      </w:r>
      <w:r>
        <w:t xml:space="preserve"> </w:t>
      </w:r>
      <w:r w:rsidRPr="00DD27A5">
        <w:rPr>
          <w:b/>
          <w:bCs/>
        </w:rPr>
        <w:t xml:space="preserve">rejected </w:t>
      </w:r>
      <w:r w:rsidRPr="00B407CC">
        <w:t>notification</w:t>
      </w:r>
      <w:r>
        <w:t xml:space="preserve"> is generated. If a secondary authorization is required, an </w:t>
      </w:r>
      <w:r w:rsidRPr="00B407CC">
        <w:rPr>
          <w:b/>
          <w:bCs/>
        </w:rPr>
        <w:t>authorization</w:t>
      </w:r>
      <w:r>
        <w:t xml:space="preserve"> </w:t>
      </w:r>
      <w:r w:rsidRPr="00DD27A5">
        <w:rPr>
          <w:b/>
          <w:bCs/>
        </w:rPr>
        <w:t xml:space="preserve">required </w:t>
      </w:r>
      <w:r w:rsidRPr="00B407CC">
        <w:t>notification</w:t>
      </w:r>
      <w:r>
        <w:t xml:space="preserve"> is generated. A </w:t>
      </w:r>
      <w:r w:rsidRPr="00DD27A5">
        <w:rPr>
          <w:b/>
          <w:bCs/>
        </w:rPr>
        <w:t>signing submission (pre-auth)</w:t>
      </w:r>
      <w:r>
        <w:t xml:space="preserve"> is generated.</w:t>
      </w:r>
    </w:p>
    <w:p w14:paraId="7F798774" w14:textId="1A18C86E" w:rsidR="00DD27A5" w:rsidRDefault="00DD27A5" w:rsidP="00DD27A5">
      <w:pPr>
        <w:spacing w:after="240"/>
        <w:ind w:left="720" w:hanging="720"/>
        <w:jc w:val="both"/>
      </w:pPr>
      <w:r w:rsidRPr="00DD27A5">
        <w:rPr>
          <w:b/>
          <w:bCs/>
          <w:color w:val="0070C0"/>
        </w:rPr>
        <w:t>Note:</w:t>
      </w:r>
      <w:r w:rsidRPr="00DD27A5">
        <w:rPr>
          <w:b/>
          <w:bCs/>
          <w:color w:val="0070C0"/>
        </w:rPr>
        <w:tab/>
      </w:r>
      <w:r>
        <w:t>In the case where no additional authorization is required, the submission is flagged as being authorized.</w:t>
      </w:r>
    </w:p>
    <w:p w14:paraId="2FCDEA91" w14:textId="773B7046" w:rsidR="00F324D4" w:rsidRDefault="00DD27A5" w:rsidP="00DD27A5">
      <w:pPr>
        <w:spacing w:after="240"/>
        <w:ind w:left="720" w:hanging="720"/>
        <w:jc w:val="both"/>
      </w:pPr>
      <w:r w:rsidRPr="00DD27A5">
        <w:rPr>
          <w:b/>
          <w:bCs/>
          <w:color w:val="0070C0"/>
        </w:rPr>
        <w:t>Note:</w:t>
      </w:r>
      <w:r w:rsidRPr="00DD27A5">
        <w:rPr>
          <w:b/>
          <w:bCs/>
          <w:color w:val="0070C0"/>
        </w:rPr>
        <w:tab/>
      </w:r>
      <w:r w:rsidR="00F324D4">
        <w:t xml:space="preserve">The </w:t>
      </w:r>
      <w:r w:rsidRPr="00DD27A5">
        <w:rPr>
          <w:b/>
          <w:bCs/>
        </w:rPr>
        <w:t>authorization required</w:t>
      </w:r>
      <w:r>
        <w:t xml:space="preserve"> notification is used to trigger a system by which authorization for the signing activity is solicited. This may take the form of a URL confirmation link in an email or other similar authorization mechanism that the signing system can use to gate the signing process.</w:t>
      </w:r>
    </w:p>
    <w:p w14:paraId="18850378" w14:textId="524E8B24" w:rsidR="00F324D4" w:rsidRDefault="00DD27A5" w:rsidP="00F324D4">
      <w:pPr>
        <w:pStyle w:val="Heading2"/>
        <w:jc w:val="both"/>
      </w:pPr>
      <w:r>
        <w:lastRenderedPageBreak/>
        <w:t>Unwrap Submission</w:t>
      </w:r>
    </w:p>
    <w:tbl>
      <w:tblPr>
        <w:tblW w:w="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522"/>
      </w:tblGrid>
      <w:tr w:rsidR="00F324D4" w14:paraId="3F9B2EBC" w14:textId="77777777" w:rsidTr="00DD27A5">
        <w:tc>
          <w:tcPr>
            <w:tcW w:w="1598" w:type="dxa"/>
            <w:shd w:val="clear" w:color="auto" w:fill="auto"/>
            <w:tcMar>
              <w:top w:w="100" w:type="dxa"/>
              <w:left w:w="100" w:type="dxa"/>
              <w:bottom w:w="100" w:type="dxa"/>
              <w:right w:w="100" w:type="dxa"/>
            </w:tcMar>
            <w:vAlign w:val="center"/>
          </w:tcPr>
          <w:p w14:paraId="41E2D6B4" w14:textId="77777777" w:rsidR="00F324D4" w:rsidRPr="00DC7542" w:rsidRDefault="00F324D4" w:rsidP="00956034">
            <w:pPr>
              <w:widowControl w:val="0"/>
              <w:spacing w:line="240" w:lineRule="auto"/>
              <w:jc w:val="right"/>
              <w:rPr>
                <w:b/>
                <w:bCs/>
              </w:rPr>
            </w:pPr>
            <w:r w:rsidRPr="00DC7542">
              <w:rPr>
                <w:b/>
                <w:bCs/>
              </w:rPr>
              <w:t>Inputs</w:t>
            </w:r>
          </w:p>
        </w:tc>
        <w:tc>
          <w:tcPr>
            <w:tcW w:w="3522" w:type="dxa"/>
            <w:shd w:val="clear" w:color="auto" w:fill="auto"/>
            <w:tcMar>
              <w:top w:w="100" w:type="dxa"/>
              <w:left w:w="100" w:type="dxa"/>
              <w:bottom w:w="100" w:type="dxa"/>
              <w:right w:w="100" w:type="dxa"/>
            </w:tcMar>
          </w:tcPr>
          <w:p w14:paraId="32CBE7D5" w14:textId="1AB8C01B" w:rsidR="00F324D4" w:rsidRDefault="005079B9" w:rsidP="00956034">
            <w:pPr>
              <w:widowControl w:val="0"/>
              <w:spacing w:line="240" w:lineRule="auto"/>
            </w:pPr>
            <w:r>
              <w:t>Signing submission (pre-auth)</w:t>
            </w:r>
          </w:p>
          <w:p w14:paraId="36539580" w14:textId="14C9AE25" w:rsidR="005079B9" w:rsidRDefault="005079B9" w:rsidP="00956034">
            <w:pPr>
              <w:widowControl w:val="0"/>
              <w:spacing w:line="240" w:lineRule="auto"/>
            </w:pPr>
            <w:r>
              <w:t>Authorization response</w:t>
            </w:r>
            <w:r w:rsidR="00DD27A5">
              <w:t xml:space="preserve"> (optional)</w:t>
            </w:r>
          </w:p>
        </w:tc>
      </w:tr>
      <w:tr w:rsidR="00F324D4" w14:paraId="573FA24B" w14:textId="77777777" w:rsidTr="00DD27A5">
        <w:trPr>
          <w:trHeight w:val="16"/>
        </w:trPr>
        <w:tc>
          <w:tcPr>
            <w:tcW w:w="1598" w:type="dxa"/>
            <w:shd w:val="clear" w:color="auto" w:fill="auto"/>
            <w:tcMar>
              <w:top w:w="100" w:type="dxa"/>
              <w:left w:w="100" w:type="dxa"/>
              <w:bottom w:w="100" w:type="dxa"/>
              <w:right w:w="100" w:type="dxa"/>
            </w:tcMar>
            <w:vAlign w:val="center"/>
          </w:tcPr>
          <w:p w14:paraId="3F5CB6F7" w14:textId="77777777" w:rsidR="00F324D4" w:rsidRPr="00DC7542" w:rsidRDefault="00F324D4" w:rsidP="00956034">
            <w:pPr>
              <w:widowControl w:val="0"/>
              <w:spacing w:line="240" w:lineRule="auto"/>
              <w:jc w:val="right"/>
              <w:rPr>
                <w:b/>
                <w:bCs/>
              </w:rPr>
            </w:pPr>
            <w:r w:rsidRPr="00DC7542">
              <w:rPr>
                <w:b/>
                <w:bCs/>
              </w:rPr>
              <w:t>Outputs</w:t>
            </w:r>
          </w:p>
        </w:tc>
        <w:tc>
          <w:tcPr>
            <w:tcW w:w="3522" w:type="dxa"/>
            <w:shd w:val="clear" w:color="auto" w:fill="auto"/>
            <w:tcMar>
              <w:top w:w="100" w:type="dxa"/>
              <w:left w:w="100" w:type="dxa"/>
              <w:bottom w:w="100" w:type="dxa"/>
              <w:right w:w="100" w:type="dxa"/>
            </w:tcMar>
          </w:tcPr>
          <w:p w14:paraId="473FACBB" w14:textId="77777777" w:rsidR="00F324D4" w:rsidRDefault="005079B9" w:rsidP="00956034">
            <w:pPr>
              <w:widowControl w:val="0"/>
              <w:spacing w:line="240" w:lineRule="auto"/>
            </w:pPr>
            <w:r>
              <w:t>Unsigned object</w:t>
            </w:r>
          </w:p>
          <w:p w14:paraId="60AC90E6" w14:textId="21B8930E" w:rsidR="005079B9" w:rsidRDefault="005079B9" w:rsidP="00956034">
            <w:pPr>
              <w:widowControl w:val="0"/>
              <w:spacing w:line="240" w:lineRule="auto"/>
            </w:pPr>
            <w:r>
              <w:t>Object metadata (optional)</w:t>
            </w:r>
          </w:p>
        </w:tc>
      </w:tr>
      <w:tr w:rsidR="00F324D4" w14:paraId="2A550D02" w14:textId="77777777" w:rsidTr="00DD27A5">
        <w:tc>
          <w:tcPr>
            <w:tcW w:w="1598" w:type="dxa"/>
            <w:shd w:val="clear" w:color="auto" w:fill="auto"/>
            <w:tcMar>
              <w:top w:w="100" w:type="dxa"/>
              <w:left w:w="100" w:type="dxa"/>
              <w:bottom w:w="100" w:type="dxa"/>
              <w:right w:w="100" w:type="dxa"/>
            </w:tcMar>
            <w:vAlign w:val="center"/>
          </w:tcPr>
          <w:p w14:paraId="3F41EFD0" w14:textId="77777777" w:rsidR="00F324D4" w:rsidRPr="00DC7542" w:rsidRDefault="00F324D4" w:rsidP="00956034">
            <w:pPr>
              <w:widowControl w:val="0"/>
              <w:spacing w:line="240" w:lineRule="auto"/>
              <w:jc w:val="right"/>
              <w:rPr>
                <w:b/>
                <w:bCs/>
              </w:rPr>
            </w:pPr>
            <w:r w:rsidRPr="00DC7542">
              <w:rPr>
                <w:b/>
                <w:bCs/>
              </w:rPr>
              <w:t>Participants</w:t>
            </w:r>
          </w:p>
        </w:tc>
        <w:tc>
          <w:tcPr>
            <w:tcW w:w="3522" w:type="dxa"/>
            <w:shd w:val="clear" w:color="auto" w:fill="auto"/>
            <w:tcMar>
              <w:top w:w="100" w:type="dxa"/>
              <w:left w:w="100" w:type="dxa"/>
              <w:bottom w:w="100" w:type="dxa"/>
              <w:right w:w="100" w:type="dxa"/>
            </w:tcMar>
          </w:tcPr>
          <w:p w14:paraId="5F99CCDC" w14:textId="7756483B" w:rsidR="00F324D4" w:rsidRPr="005079B9" w:rsidRDefault="005079B9" w:rsidP="00956034">
            <w:pPr>
              <w:widowControl w:val="0"/>
              <w:spacing w:line="240" w:lineRule="auto"/>
              <w:rPr>
                <w:b/>
                <w:bCs/>
              </w:rPr>
            </w:pPr>
            <w:r w:rsidRPr="005079B9">
              <w:rPr>
                <w:b/>
                <w:bCs/>
              </w:rPr>
              <w:t>none</w:t>
            </w:r>
          </w:p>
        </w:tc>
      </w:tr>
    </w:tbl>
    <w:p w14:paraId="1BE0CD96" w14:textId="77777777" w:rsidR="00F324D4" w:rsidRDefault="00F324D4" w:rsidP="00F324D4"/>
    <w:p w14:paraId="1A3BAE63" w14:textId="77777777" w:rsidR="00F324D4" w:rsidRDefault="00F324D4" w:rsidP="00F324D4">
      <w:pPr>
        <w:keepNext/>
        <w:spacing w:after="240"/>
        <w:jc w:val="center"/>
      </w:pPr>
      <w:r>
        <w:rPr>
          <w:noProof/>
        </w:rPr>
        <w:drawing>
          <wp:inline distT="0" distB="0" distL="0" distR="0" wp14:anchorId="78B44284" wp14:editId="798AB84E">
            <wp:extent cx="4560839" cy="4387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60839" cy="4387328"/>
                    </a:xfrm>
                    <a:prstGeom prst="rect">
                      <a:avLst/>
                    </a:prstGeom>
                  </pic:spPr>
                </pic:pic>
              </a:graphicData>
            </a:graphic>
          </wp:inline>
        </w:drawing>
      </w:r>
    </w:p>
    <w:p w14:paraId="7E9DDCF5" w14:textId="15EABF7F" w:rsidR="00F324D4" w:rsidRDefault="00DD27A5" w:rsidP="00F324D4">
      <w:pPr>
        <w:spacing w:after="240"/>
        <w:jc w:val="both"/>
      </w:pPr>
      <w:r>
        <w:t xml:space="preserve">The </w:t>
      </w:r>
      <w:r w:rsidRPr="00DD27A5">
        <w:rPr>
          <w:b/>
          <w:bCs/>
        </w:rPr>
        <w:t>signing submission (pre-auth)</w:t>
      </w:r>
      <w:r>
        <w:t xml:space="preserve"> is unwrapped if the submission is authorized for signing</w:t>
      </w:r>
      <w:r w:rsidR="00F324D4">
        <w:t>.</w:t>
      </w:r>
      <w:r>
        <w:t xml:space="preserve"> This is either because the submission has been flagged as authorized in the previous step or if the </w:t>
      </w:r>
      <w:r w:rsidRPr="00DD27A5">
        <w:rPr>
          <w:b/>
          <w:bCs/>
        </w:rPr>
        <w:t>authorization response</w:t>
      </w:r>
      <w:r>
        <w:t xml:space="preserve"> is in the affirmative. If the authorization response is in the negative, an </w:t>
      </w:r>
      <w:r w:rsidRPr="00DD27A5">
        <w:rPr>
          <w:b/>
          <w:bCs/>
        </w:rPr>
        <w:t>authorization rejected</w:t>
      </w:r>
      <w:r>
        <w:t xml:space="preserve"> notification is generated. If</w:t>
      </w:r>
      <w:r w:rsidR="00B407CC">
        <w:t xml:space="preserve"> authorized, the</w:t>
      </w:r>
      <w:r>
        <w:t xml:space="preserve"> unwrapped </w:t>
      </w:r>
      <w:r w:rsidRPr="00DD27A5">
        <w:rPr>
          <w:b/>
          <w:bCs/>
        </w:rPr>
        <w:t>unsigned object</w:t>
      </w:r>
      <w:r>
        <w:t xml:space="preserve"> and optionally </w:t>
      </w:r>
      <w:r w:rsidRPr="00DD27A5">
        <w:rPr>
          <w:b/>
          <w:bCs/>
        </w:rPr>
        <w:t>object metadata</w:t>
      </w:r>
      <w:r>
        <w:t xml:space="preserve"> artifacts are generated.</w:t>
      </w:r>
    </w:p>
    <w:p w14:paraId="2772B038" w14:textId="3320D32F" w:rsidR="00F324D4" w:rsidRDefault="00DD27A5" w:rsidP="00DD27A5">
      <w:pPr>
        <w:ind w:left="720" w:hanging="720"/>
        <w:jc w:val="both"/>
        <w:rPr>
          <w:sz w:val="32"/>
          <w:szCs w:val="32"/>
        </w:rPr>
      </w:pPr>
      <w:r w:rsidRPr="00DD27A5">
        <w:rPr>
          <w:b/>
          <w:bCs/>
          <w:color w:val="0070C0"/>
        </w:rPr>
        <w:t>Note:</w:t>
      </w:r>
      <w:r w:rsidRPr="00DD27A5">
        <w:rPr>
          <w:b/>
          <w:bCs/>
          <w:color w:val="0070C0"/>
        </w:rPr>
        <w:tab/>
      </w:r>
      <w:r>
        <w:t>The signing system must be capable of gating on the authorization response for this activity to take place.</w:t>
      </w:r>
      <w:r w:rsidR="00F324D4">
        <w:br w:type="page"/>
      </w:r>
    </w:p>
    <w:p w14:paraId="694F887C" w14:textId="31E481ED" w:rsidR="00F324D4" w:rsidRDefault="00F324D4" w:rsidP="00F324D4">
      <w:pPr>
        <w:pStyle w:val="Heading2"/>
        <w:jc w:val="both"/>
      </w:pPr>
      <w:r>
        <w:lastRenderedPageBreak/>
        <w:t>Virus Scan 1</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92D84C9" w14:textId="77777777" w:rsidTr="00956034">
        <w:tc>
          <w:tcPr>
            <w:tcW w:w="1598" w:type="dxa"/>
            <w:shd w:val="clear" w:color="auto" w:fill="auto"/>
            <w:tcMar>
              <w:top w:w="100" w:type="dxa"/>
              <w:left w:w="100" w:type="dxa"/>
              <w:bottom w:w="100" w:type="dxa"/>
              <w:right w:w="100" w:type="dxa"/>
            </w:tcMar>
            <w:vAlign w:val="center"/>
          </w:tcPr>
          <w:p w14:paraId="2B33E580"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00F81AEC" w14:textId="288E24ED" w:rsidR="00F324D4" w:rsidRDefault="005079B9" w:rsidP="00956034">
            <w:pPr>
              <w:widowControl w:val="0"/>
              <w:spacing w:line="240" w:lineRule="auto"/>
            </w:pPr>
            <w:r>
              <w:t>Unsigned object</w:t>
            </w:r>
          </w:p>
        </w:tc>
      </w:tr>
      <w:tr w:rsidR="00F324D4" w14:paraId="3350FBAD" w14:textId="77777777" w:rsidTr="00956034">
        <w:trPr>
          <w:trHeight w:val="16"/>
        </w:trPr>
        <w:tc>
          <w:tcPr>
            <w:tcW w:w="1598" w:type="dxa"/>
            <w:shd w:val="clear" w:color="auto" w:fill="auto"/>
            <w:tcMar>
              <w:top w:w="100" w:type="dxa"/>
              <w:left w:w="100" w:type="dxa"/>
              <w:bottom w:w="100" w:type="dxa"/>
              <w:right w:w="100" w:type="dxa"/>
            </w:tcMar>
            <w:vAlign w:val="center"/>
          </w:tcPr>
          <w:p w14:paraId="724BDD9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17C9DC3" w14:textId="77777777" w:rsidR="00F324D4" w:rsidRDefault="005079B9" w:rsidP="00956034">
            <w:pPr>
              <w:widowControl w:val="0"/>
              <w:spacing w:line="240" w:lineRule="auto"/>
            </w:pPr>
            <w:r>
              <w:t>Single-scan unsigned object</w:t>
            </w:r>
          </w:p>
          <w:p w14:paraId="470F5C33" w14:textId="51532BCE" w:rsidR="005079B9" w:rsidRDefault="005079B9" w:rsidP="00956034">
            <w:pPr>
              <w:widowControl w:val="0"/>
              <w:spacing w:line="240" w:lineRule="auto"/>
            </w:pPr>
            <w:r>
              <w:t>Virus scan 1 report</w:t>
            </w:r>
          </w:p>
        </w:tc>
      </w:tr>
      <w:tr w:rsidR="00F324D4" w14:paraId="1B319E47" w14:textId="77777777" w:rsidTr="00956034">
        <w:tc>
          <w:tcPr>
            <w:tcW w:w="1598" w:type="dxa"/>
            <w:shd w:val="clear" w:color="auto" w:fill="auto"/>
            <w:tcMar>
              <w:top w:w="100" w:type="dxa"/>
              <w:left w:w="100" w:type="dxa"/>
              <w:bottom w:w="100" w:type="dxa"/>
              <w:right w:w="100" w:type="dxa"/>
            </w:tcMar>
            <w:vAlign w:val="center"/>
          </w:tcPr>
          <w:p w14:paraId="44D3EBF2"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10F836D" w14:textId="0DCC1870" w:rsidR="00F324D4" w:rsidRPr="005079B9" w:rsidRDefault="005079B9" w:rsidP="00956034">
            <w:pPr>
              <w:widowControl w:val="0"/>
              <w:spacing w:line="240" w:lineRule="auto"/>
              <w:rPr>
                <w:b/>
                <w:bCs/>
              </w:rPr>
            </w:pPr>
            <w:r w:rsidRPr="005079B9">
              <w:rPr>
                <w:b/>
                <w:bCs/>
              </w:rPr>
              <w:t>none</w:t>
            </w:r>
          </w:p>
        </w:tc>
      </w:tr>
    </w:tbl>
    <w:p w14:paraId="5991CDAD" w14:textId="77777777" w:rsidR="00F324D4" w:rsidRDefault="00F324D4" w:rsidP="00F324D4"/>
    <w:p w14:paraId="498C556A" w14:textId="77777777" w:rsidR="00F324D4" w:rsidRDefault="00F324D4" w:rsidP="00F324D4">
      <w:pPr>
        <w:keepNext/>
        <w:spacing w:after="240"/>
        <w:jc w:val="center"/>
      </w:pPr>
      <w:r>
        <w:rPr>
          <w:noProof/>
        </w:rPr>
        <w:drawing>
          <wp:inline distT="0" distB="0" distL="0" distR="0" wp14:anchorId="522ED4D7" wp14:editId="47BFA8DE">
            <wp:extent cx="3989070" cy="440373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989248" cy="4403932"/>
                    </a:xfrm>
                    <a:prstGeom prst="rect">
                      <a:avLst/>
                    </a:prstGeom>
                  </pic:spPr>
                </pic:pic>
              </a:graphicData>
            </a:graphic>
          </wp:inline>
        </w:drawing>
      </w:r>
    </w:p>
    <w:p w14:paraId="27B5AF1B" w14:textId="042E2880" w:rsidR="00F324D4" w:rsidRDefault="00756B64" w:rsidP="00F324D4">
      <w:pPr>
        <w:spacing w:after="240"/>
        <w:jc w:val="both"/>
      </w:pPr>
      <w:r>
        <w:t xml:space="preserve">The first of two virus scans is performed on the </w:t>
      </w:r>
      <w:r w:rsidRPr="00756B64">
        <w:rPr>
          <w:b/>
          <w:bCs/>
        </w:rPr>
        <w:t>unsigned object</w:t>
      </w:r>
      <w:r w:rsidR="00F324D4">
        <w:t>.</w:t>
      </w:r>
      <w:r>
        <w:t xml:space="preserve"> If the scan fails, an </w:t>
      </w:r>
      <w:r w:rsidRPr="00756B64">
        <w:rPr>
          <w:b/>
          <w:bCs/>
        </w:rPr>
        <w:t>AV scan failed</w:t>
      </w:r>
      <w:r>
        <w:t xml:space="preserve"> notification is generated. If the scan succeeds, a </w:t>
      </w:r>
      <w:r w:rsidRPr="00756B64">
        <w:rPr>
          <w:b/>
          <w:bCs/>
        </w:rPr>
        <w:t>single-scan unsigned object</w:t>
      </w:r>
      <w:r>
        <w:t xml:space="preserve"> is generated (passed along). A </w:t>
      </w:r>
      <w:r w:rsidRPr="00756B64">
        <w:rPr>
          <w:b/>
          <w:bCs/>
        </w:rPr>
        <w:t>virus scan 1 report</w:t>
      </w:r>
      <w:r>
        <w:t xml:space="preserve"> is generated.</w:t>
      </w:r>
    </w:p>
    <w:p w14:paraId="000B725C" w14:textId="482457C7" w:rsidR="00F324D4" w:rsidRDefault="00756B64" w:rsidP="00756B64">
      <w:pPr>
        <w:spacing w:after="240"/>
        <w:ind w:left="720" w:hanging="720"/>
        <w:jc w:val="both"/>
      </w:pPr>
      <w:r w:rsidRPr="00756B64">
        <w:rPr>
          <w:b/>
          <w:bCs/>
          <w:color w:val="0070C0"/>
        </w:rPr>
        <w:t>Note:</w:t>
      </w:r>
      <w:r w:rsidRPr="00756B64">
        <w:rPr>
          <w:b/>
          <w:bCs/>
          <w:color w:val="0070C0"/>
        </w:rPr>
        <w:tab/>
      </w:r>
      <w:r>
        <w:t>The virus scans are performed by two different virus scanning applications in order to gain greater coverage.</w:t>
      </w:r>
    </w:p>
    <w:p w14:paraId="097246FF" w14:textId="77777777" w:rsidR="00F324D4" w:rsidRDefault="00F324D4">
      <w:pPr>
        <w:rPr>
          <w:sz w:val="32"/>
          <w:szCs w:val="32"/>
        </w:rPr>
      </w:pPr>
      <w:r>
        <w:br w:type="page"/>
      </w:r>
    </w:p>
    <w:p w14:paraId="70700372" w14:textId="0AB23140" w:rsidR="00F324D4" w:rsidRDefault="00F324D4" w:rsidP="00F324D4">
      <w:pPr>
        <w:pStyle w:val="Heading2"/>
        <w:jc w:val="both"/>
      </w:pPr>
      <w:r>
        <w:lastRenderedPageBreak/>
        <w:t>Virus Scan 2</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6AAB8841" w14:textId="77777777" w:rsidTr="00956034">
        <w:tc>
          <w:tcPr>
            <w:tcW w:w="1598" w:type="dxa"/>
            <w:shd w:val="clear" w:color="auto" w:fill="auto"/>
            <w:tcMar>
              <w:top w:w="100" w:type="dxa"/>
              <w:left w:w="100" w:type="dxa"/>
              <w:bottom w:w="100" w:type="dxa"/>
              <w:right w:w="100" w:type="dxa"/>
            </w:tcMar>
            <w:vAlign w:val="center"/>
          </w:tcPr>
          <w:p w14:paraId="144115B1"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E9E2B9" w14:textId="495170A4" w:rsidR="00F324D4" w:rsidRDefault="005079B9" w:rsidP="00956034">
            <w:pPr>
              <w:widowControl w:val="0"/>
              <w:spacing w:line="240" w:lineRule="auto"/>
            </w:pPr>
            <w:r>
              <w:t>Single-scan unsigned object</w:t>
            </w:r>
          </w:p>
        </w:tc>
      </w:tr>
      <w:tr w:rsidR="00F324D4" w14:paraId="5A1F5751" w14:textId="77777777" w:rsidTr="00956034">
        <w:trPr>
          <w:trHeight w:val="16"/>
        </w:trPr>
        <w:tc>
          <w:tcPr>
            <w:tcW w:w="1598" w:type="dxa"/>
            <w:shd w:val="clear" w:color="auto" w:fill="auto"/>
            <w:tcMar>
              <w:top w:w="100" w:type="dxa"/>
              <w:left w:w="100" w:type="dxa"/>
              <w:bottom w:w="100" w:type="dxa"/>
              <w:right w:w="100" w:type="dxa"/>
            </w:tcMar>
            <w:vAlign w:val="center"/>
          </w:tcPr>
          <w:p w14:paraId="51971688"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E08E508" w14:textId="77777777" w:rsidR="00F324D4" w:rsidRDefault="005079B9" w:rsidP="00956034">
            <w:pPr>
              <w:widowControl w:val="0"/>
              <w:spacing w:line="240" w:lineRule="auto"/>
            </w:pPr>
            <w:r>
              <w:t>Dual-scan unsigned object</w:t>
            </w:r>
          </w:p>
          <w:p w14:paraId="683F2946" w14:textId="02C69D51" w:rsidR="005079B9" w:rsidRDefault="005079B9" w:rsidP="00956034">
            <w:pPr>
              <w:widowControl w:val="0"/>
              <w:spacing w:line="240" w:lineRule="auto"/>
            </w:pPr>
            <w:r>
              <w:t>Virus scan 2 report</w:t>
            </w:r>
          </w:p>
        </w:tc>
      </w:tr>
      <w:tr w:rsidR="00F324D4" w14:paraId="0F5B6A4D" w14:textId="77777777" w:rsidTr="00956034">
        <w:tc>
          <w:tcPr>
            <w:tcW w:w="1598" w:type="dxa"/>
            <w:shd w:val="clear" w:color="auto" w:fill="auto"/>
            <w:tcMar>
              <w:top w:w="100" w:type="dxa"/>
              <w:left w:w="100" w:type="dxa"/>
              <w:bottom w:w="100" w:type="dxa"/>
              <w:right w:w="100" w:type="dxa"/>
            </w:tcMar>
            <w:vAlign w:val="center"/>
          </w:tcPr>
          <w:p w14:paraId="7F65A60C"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79A02293" w14:textId="2A2E6039" w:rsidR="00F324D4" w:rsidRPr="005079B9" w:rsidRDefault="005079B9" w:rsidP="00956034">
            <w:pPr>
              <w:widowControl w:val="0"/>
              <w:spacing w:line="240" w:lineRule="auto"/>
              <w:rPr>
                <w:b/>
                <w:bCs/>
              </w:rPr>
            </w:pPr>
            <w:r w:rsidRPr="005079B9">
              <w:rPr>
                <w:b/>
                <w:bCs/>
              </w:rPr>
              <w:t>none</w:t>
            </w:r>
          </w:p>
        </w:tc>
      </w:tr>
    </w:tbl>
    <w:p w14:paraId="4109BA0E" w14:textId="77777777" w:rsidR="00F324D4" w:rsidRDefault="00F324D4" w:rsidP="00F324D4"/>
    <w:p w14:paraId="2D3379C3" w14:textId="77777777" w:rsidR="00F324D4" w:rsidRDefault="00F324D4" w:rsidP="00F324D4">
      <w:pPr>
        <w:keepNext/>
        <w:spacing w:after="240"/>
        <w:jc w:val="center"/>
      </w:pPr>
      <w:r>
        <w:rPr>
          <w:noProof/>
        </w:rPr>
        <w:drawing>
          <wp:inline distT="0" distB="0" distL="0" distR="0" wp14:anchorId="37F44E05" wp14:editId="3B9CAC81">
            <wp:extent cx="3824432" cy="44038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24432" cy="4403892"/>
                    </a:xfrm>
                    <a:prstGeom prst="rect">
                      <a:avLst/>
                    </a:prstGeom>
                  </pic:spPr>
                </pic:pic>
              </a:graphicData>
            </a:graphic>
          </wp:inline>
        </w:drawing>
      </w:r>
    </w:p>
    <w:p w14:paraId="27C5F291" w14:textId="4B788CAF" w:rsidR="00756B64" w:rsidRDefault="00756B64" w:rsidP="00756B64">
      <w:pPr>
        <w:spacing w:after="240"/>
        <w:jc w:val="both"/>
      </w:pPr>
      <w:r>
        <w:t xml:space="preserve">The second virus scan is performed on the </w:t>
      </w:r>
      <w:r w:rsidRPr="00756B64">
        <w:rPr>
          <w:b/>
          <w:bCs/>
        </w:rPr>
        <w:t>single-scan</w:t>
      </w:r>
      <w:r>
        <w:t xml:space="preserve"> </w:t>
      </w:r>
      <w:r w:rsidRPr="00756B64">
        <w:rPr>
          <w:b/>
          <w:bCs/>
        </w:rPr>
        <w:t>unsigned object</w:t>
      </w:r>
      <w:r>
        <w:t xml:space="preserve">. If the scan fails, an </w:t>
      </w:r>
      <w:r w:rsidRPr="00756B64">
        <w:rPr>
          <w:b/>
          <w:bCs/>
        </w:rPr>
        <w:t>AV scan failed</w:t>
      </w:r>
      <w:r>
        <w:t xml:space="preserve"> notification is generated. If the scan succeeds, a </w:t>
      </w:r>
      <w:r>
        <w:rPr>
          <w:b/>
          <w:bCs/>
        </w:rPr>
        <w:t>dual</w:t>
      </w:r>
      <w:r w:rsidRPr="00756B64">
        <w:rPr>
          <w:b/>
          <w:bCs/>
        </w:rPr>
        <w:t>-scan unsigned object</w:t>
      </w:r>
      <w:r>
        <w:t xml:space="preserve"> is generated (passed along). A </w:t>
      </w:r>
      <w:r w:rsidRPr="00756B64">
        <w:rPr>
          <w:b/>
          <w:bCs/>
        </w:rPr>
        <w:t xml:space="preserve">virus scan </w:t>
      </w:r>
      <w:r>
        <w:rPr>
          <w:b/>
          <w:bCs/>
        </w:rPr>
        <w:t>2</w:t>
      </w:r>
      <w:r w:rsidRPr="00756B64">
        <w:rPr>
          <w:b/>
          <w:bCs/>
        </w:rPr>
        <w:t xml:space="preserve"> report</w:t>
      </w:r>
      <w:r>
        <w:t xml:space="preserve"> is generated.</w:t>
      </w:r>
    </w:p>
    <w:p w14:paraId="6FF76077" w14:textId="77777777" w:rsidR="00756B64" w:rsidRDefault="00756B64" w:rsidP="00756B64">
      <w:pPr>
        <w:spacing w:after="240"/>
        <w:ind w:left="720" w:hanging="720"/>
        <w:jc w:val="both"/>
      </w:pPr>
      <w:r w:rsidRPr="00756B64">
        <w:rPr>
          <w:b/>
          <w:bCs/>
          <w:color w:val="0070C0"/>
        </w:rPr>
        <w:t>Note:</w:t>
      </w:r>
      <w:r w:rsidRPr="00756B64">
        <w:rPr>
          <w:b/>
          <w:bCs/>
          <w:color w:val="0070C0"/>
        </w:rPr>
        <w:tab/>
      </w:r>
      <w:r>
        <w:t xml:space="preserve">The virus scans are performed by two different virus scanning applications </w:t>
      </w:r>
      <w:proofErr w:type="gramStart"/>
      <w:r>
        <w:t>in order to</w:t>
      </w:r>
      <w:proofErr w:type="gramEnd"/>
      <w:r>
        <w:t xml:space="preserve"> gain greater coverage.</w:t>
      </w:r>
    </w:p>
    <w:p w14:paraId="0FF20858" w14:textId="77777777" w:rsidR="00F324D4" w:rsidRDefault="00F324D4">
      <w:pPr>
        <w:rPr>
          <w:sz w:val="32"/>
          <w:szCs w:val="32"/>
        </w:rPr>
      </w:pPr>
      <w:r>
        <w:br w:type="page"/>
      </w:r>
    </w:p>
    <w:p w14:paraId="6E3FFF39" w14:textId="56660CFC" w:rsidR="00F324D4" w:rsidRDefault="00F324D4" w:rsidP="00F324D4">
      <w:pPr>
        <w:pStyle w:val="Heading2"/>
        <w:jc w:val="both"/>
      </w:pPr>
      <w:r>
        <w:lastRenderedPageBreak/>
        <w:t>Sign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15904CD7" w14:textId="77777777" w:rsidTr="00956034">
        <w:tc>
          <w:tcPr>
            <w:tcW w:w="1598" w:type="dxa"/>
            <w:shd w:val="clear" w:color="auto" w:fill="auto"/>
            <w:tcMar>
              <w:top w:w="100" w:type="dxa"/>
              <w:left w:w="100" w:type="dxa"/>
              <w:bottom w:w="100" w:type="dxa"/>
              <w:right w:w="100" w:type="dxa"/>
            </w:tcMar>
            <w:vAlign w:val="center"/>
          </w:tcPr>
          <w:p w14:paraId="282F264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2344D3" w14:textId="77777777" w:rsidR="00F324D4" w:rsidRDefault="005079B9" w:rsidP="00956034">
            <w:pPr>
              <w:widowControl w:val="0"/>
              <w:spacing w:line="240" w:lineRule="auto"/>
            </w:pPr>
            <w:r>
              <w:t>Dual-scan unsigned object</w:t>
            </w:r>
          </w:p>
          <w:p w14:paraId="44D3027A" w14:textId="45011308" w:rsidR="005079B9" w:rsidRDefault="005079B9" w:rsidP="00956034">
            <w:pPr>
              <w:widowControl w:val="0"/>
              <w:spacing w:line="240" w:lineRule="auto"/>
            </w:pPr>
            <w:r>
              <w:t>Object metadata (optional)</w:t>
            </w:r>
          </w:p>
          <w:p w14:paraId="33DBE295" w14:textId="1EFD1555" w:rsidR="005079B9" w:rsidRDefault="005079B9" w:rsidP="00956034">
            <w:pPr>
              <w:widowControl w:val="0"/>
              <w:spacing w:line="240" w:lineRule="auto"/>
            </w:pPr>
            <w:r>
              <w:t>Signing keys</w:t>
            </w:r>
          </w:p>
        </w:tc>
      </w:tr>
      <w:tr w:rsidR="00F324D4" w14:paraId="31EA8727" w14:textId="77777777" w:rsidTr="00956034">
        <w:trPr>
          <w:trHeight w:val="16"/>
        </w:trPr>
        <w:tc>
          <w:tcPr>
            <w:tcW w:w="1598" w:type="dxa"/>
            <w:shd w:val="clear" w:color="auto" w:fill="auto"/>
            <w:tcMar>
              <w:top w:w="100" w:type="dxa"/>
              <w:left w:w="100" w:type="dxa"/>
              <w:bottom w:w="100" w:type="dxa"/>
              <w:right w:w="100" w:type="dxa"/>
            </w:tcMar>
            <w:vAlign w:val="center"/>
          </w:tcPr>
          <w:p w14:paraId="5BE09E5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00367ED" w14:textId="77777777" w:rsidR="00F324D4" w:rsidRDefault="005079B9" w:rsidP="00956034">
            <w:pPr>
              <w:widowControl w:val="0"/>
              <w:spacing w:line="240" w:lineRule="auto"/>
            </w:pPr>
            <w:r>
              <w:t>Signing log</w:t>
            </w:r>
          </w:p>
          <w:p w14:paraId="09790AE0" w14:textId="40BFF7EA" w:rsidR="005079B9" w:rsidRDefault="005079B9" w:rsidP="00956034">
            <w:pPr>
              <w:widowControl w:val="0"/>
              <w:spacing w:line="240" w:lineRule="auto"/>
            </w:pPr>
            <w:r>
              <w:t>Signed object</w:t>
            </w:r>
          </w:p>
          <w:p w14:paraId="1F969E35" w14:textId="77D405E0" w:rsidR="005079B9" w:rsidRDefault="005079B9" w:rsidP="00956034">
            <w:pPr>
              <w:widowControl w:val="0"/>
              <w:spacing w:line="240" w:lineRule="auto"/>
            </w:pPr>
            <w:r>
              <w:t>Signed object metadata</w:t>
            </w:r>
          </w:p>
          <w:p w14:paraId="4200C0A0" w14:textId="048A0263" w:rsidR="005079B9" w:rsidRDefault="005079B9" w:rsidP="00956034">
            <w:pPr>
              <w:widowControl w:val="0"/>
              <w:spacing w:line="240" w:lineRule="auto"/>
            </w:pPr>
            <w:r>
              <w:t>Object signing report</w:t>
            </w:r>
          </w:p>
        </w:tc>
      </w:tr>
      <w:tr w:rsidR="00F324D4" w14:paraId="67F684C0" w14:textId="77777777" w:rsidTr="00956034">
        <w:tc>
          <w:tcPr>
            <w:tcW w:w="1598" w:type="dxa"/>
            <w:shd w:val="clear" w:color="auto" w:fill="auto"/>
            <w:tcMar>
              <w:top w:w="100" w:type="dxa"/>
              <w:left w:w="100" w:type="dxa"/>
              <w:bottom w:w="100" w:type="dxa"/>
              <w:right w:w="100" w:type="dxa"/>
            </w:tcMar>
            <w:vAlign w:val="center"/>
          </w:tcPr>
          <w:p w14:paraId="0D4FB285"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5805981" w14:textId="019580B9" w:rsidR="00F324D4" w:rsidRPr="005079B9" w:rsidRDefault="005079B9" w:rsidP="00956034">
            <w:pPr>
              <w:widowControl w:val="0"/>
              <w:spacing w:line="240" w:lineRule="auto"/>
              <w:rPr>
                <w:b/>
                <w:bCs/>
              </w:rPr>
            </w:pPr>
            <w:r w:rsidRPr="005079B9">
              <w:rPr>
                <w:b/>
                <w:bCs/>
              </w:rPr>
              <w:t>none</w:t>
            </w:r>
          </w:p>
        </w:tc>
      </w:tr>
    </w:tbl>
    <w:p w14:paraId="774FA040" w14:textId="77777777" w:rsidR="00F324D4" w:rsidRDefault="00F324D4" w:rsidP="00F324D4"/>
    <w:p w14:paraId="44C3A3AC" w14:textId="77777777" w:rsidR="00F324D4" w:rsidRDefault="00F324D4" w:rsidP="00F324D4">
      <w:pPr>
        <w:keepNext/>
        <w:spacing w:after="240"/>
        <w:jc w:val="center"/>
      </w:pPr>
      <w:r>
        <w:rPr>
          <w:noProof/>
        </w:rPr>
        <w:drawing>
          <wp:inline distT="0" distB="0" distL="0" distR="0" wp14:anchorId="4182253A" wp14:editId="3C6C1D22">
            <wp:extent cx="4395682" cy="44039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395682" cy="4403961"/>
                    </a:xfrm>
                    <a:prstGeom prst="rect">
                      <a:avLst/>
                    </a:prstGeom>
                  </pic:spPr>
                </pic:pic>
              </a:graphicData>
            </a:graphic>
          </wp:inline>
        </w:drawing>
      </w:r>
    </w:p>
    <w:p w14:paraId="206AD108" w14:textId="212059F7" w:rsidR="00F324D4" w:rsidRDefault="007907A7" w:rsidP="00F324D4">
      <w:pPr>
        <w:spacing w:after="240"/>
        <w:jc w:val="both"/>
      </w:pPr>
      <w:r>
        <w:t xml:space="preserve">Using the appropriate signing key from the </w:t>
      </w:r>
      <w:r w:rsidRPr="007907A7">
        <w:rPr>
          <w:b/>
          <w:bCs/>
        </w:rPr>
        <w:t>signing keys</w:t>
      </w:r>
      <w:r>
        <w:t xml:space="preserve"> datastore and possible information provided by the </w:t>
      </w:r>
      <w:r w:rsidRPr="007907A7">
        <w:rPr>
          <w:b/>
          <w:bCs/>
        </w:rPr>
        <w:t>object metadata</w:t>
      </w:r>
      <w:r>
        <w:t xml:space="preserve">, the </w:t>
      </w:r>
      <w:r w:rsidRPr="007907A7">
        <w:rPr>
          <w:b/>
          <w:bCs/>
        </w:rPr>
        <w:t>dual-scan unsigned object</w:t>
      </w:r>
      <w:r>
        <w:t xml:space="preserve"> is signed</w:t>
      </w:r>
      <w:r w:rsidR="00F324D4">
        <w:t>.</w:t>
      </w:r>
      <w:r>
        <w:t xml:space="preserve"> If the signing is unsuccessful, a </w:t>
      </w:r>
      <w:r w:rsidRPr="007907A7">
        <w:rPr>
          <w:b/>
          <w:bCs/>
        </w:rPr>
        <w:t>signing rejected</w:t>
      </w:r>
      <w:r>
        <w:t xml:space="preserve"> notification is generated. If successful, a </w:t>
      </w:r>
      <w:r w:rsidRPr="007907A7">
        <w:rPr>
          <w:b/>
          <w:bCs/>
        </w:rPr>
        <w:t>signing object</w:t>
      </w:r>
      <w:r>
        <w:t xml:space="preserve"> and </w:t>
      </w:r>
      <w:r w:rsidRPr="007907A7">
        <w:rPr>
          <w:b/>
          <w:bCs/>
        </w:rPr>
        <w:t>signed object metadata</w:t>
      </w:r>
      <w:r>
        <w:t xml:space="preserve"> artifacts are generated. The </w:t>
      </w:r>
      <w:r w:rsidRPr="007907A7">
        <w:rPr>
          <w:b/>
          <w:bCs/>
        </w:rPr>
        <w:t>signing log</w:t>
      </w:r>
      <w:r>
        <w:t xml:space="preserve"> is updated. An </w:t>
      </w:r>
      <w:r w:rsidRPr="007907A7">
        <w:rPr>
          <w:b/>
          <w:bCs/>
        </w:rPr>
        <w:t>object signing report</w:t>
      </w:r>
      <w:r>
        <w:t xml:space="preserve"> is generated.</w:t>
      </w:r>
    </w:p>
    <w:p w14:paraId="3CE1E7B0" w14:textId="74A82A74" w:rsidR="00F324D4" w:rsidRDefault="007907A7" w:rsidP="007907A7">
      <w:pPr>
        <w:spacing w:after="240"/>
        <w:ind w:left="720" w:hanging="720"/>
        <w:jc w:val="both"/>
      </w:pPr>
      <w:r w:rsidRPr="007907A7">
        <w:rPr>
          <w:b/>
          <w:bCs/>
          <w:color w:val="0070C0"/>
        </w:rPr>
        <w:lastRenderedPageBreak/>
        <w:t>Note:</w:t>
      </w:r>
      <w:r w:rsidRPr="007907A7">
        <w:rPr>
          <w:b/>
          <w:bCs/>
          <w:color w:val="0070C0"/>
        </w:rPr>
        <w:tab/>
      </w:r>
      <w:r>
        <w:t xml:space="preserve">There are multiple reasons for a signing failure. These include (but are not limited to) issues with the signing key selected, signing key lifetime, and details of the </w:t>
      </w:r>
      <w:r w:rsidRPr="007907A7">
        <w:rPr>
          <w:b/>
          <w:bCs/>
        </w:rPr>
        <w:t>object metadata</w:t>
      </w:r>
      <w:r>
        <w:t>.</w:t>
      </w:r>
    </w:p>
    <w:p w14:paraId="7271A77D" w14:textId="0B5BA2C2" w:rsidR="007907A7" w:rsidRDefault="007907A7" w:rsidP="007907A7">
      <w:pPr>
        <w:spacing w:after="240"/>
        <w:ind w:left="720" w:hanging="720"/>
        <w:jc w:val="both"/>
      </w:pPr>
      <w:r>
        <w:rPr>
          <w:b/>
          <w:bCs/>
          <w:color w:val="0070C0"/>
        </w:rPr>
        <w:t>Note:</w:t>
      </w:r>
      <w:r>
        <w:tab/>
        <w:t>The object metadata may include (but not be limited to) information such as hash, certificate, and CRC.</w:t>
      </w:r>
    </w:p>
    <w:p w14:paraId="2AD04340" w14:textId="77777777" w:rsidR="007907A7" w:rsidRDefault="007907A7">
      <w:pPr>
        <w:rPr>
          <w:sz w:val="32"/>
          <w:szCs w:val="32"/>
        </w:rPr>
      </w:pPr>
      <w:r>
        <w:br w:type="page"/>
      </w:r>
    </w:p>
    <w:p w14:paraId="4349D377" w14:textId="71281C3D" w:rsidR="00F324D4" w:rsidRDefault="00F324D4" w:rsidP="00F324D4">
      <w:pPr>
        <w:pStyle w:val="Heading2"/>
        <w:jc w:val="both"/>
      </w:pPr>
      <w:r>
        <w:lastRenderedPageBreak/>
        <w:t>Archived Signed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E81B6AD" w14:textId="77777777" w:rsidTr="00956034">
        <w:tc>
          <w:tcPr>
            <w:tcW w:w="1598" w:type="dxa"/>
            <w:shd w:val="clear" w:color="auto" w:fill="auto"/>
            <w:tcMar>
              <w:top w:w="100" w:type="dxa"/>
              <w:left w:w="100" w:type="dxa"/>
              <w:bottom w:w="100" w:type="dxa"/>
              <w:right w:w="100" w:type="dxa"/>
            </w:tcMar>
            <w:vAlign w:val="center"/>
          </w:tcPr>
          <w:p w14:paraId="02424CB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4857260" w14:textId="0579E8EE" w:rsidR="00F324D4" w:rsidRDefault="005079B9" w:rsidP="00956034">
            <w:pPr>
              <w:widowControl w:val="0"/>
              <w:spacing w:line="240" w:lineRule="auto"/>
            </w:pPr>
            <w:r>
              <w:t>Signed object</w:t>
            </w:r>
          </w:p>
        </w:tc>
      </w:tr>
      <w:tr w:rsidR="00F324D4" w14:paraId="34F86AF2" w14:textId="77777777" w:rsidTr="00956034">
        <w:trPr>
          <w:trHeight w:val="16"/>
        </w:trPr>
        <w:tc>
          <w:tcPr>
            <w:tcW w:w="1598" w:type="dxa"/>
            <w:shd w:val="clear" w:color="auto" w:fill="auto"/>
            <w:tcMar>
              <w:top w:w="100" w:type="dxa"/>
              <w:left w:w="100" w:type="dxa"/>
              <w:bottom w:w="100" w:type="dxa"/>
              <w:right w:w="100" w:type="dxa"/>
            </w:tcMar>
            <w:vAlign w:val="center"/>
          </w:tcPr>
          <w:p w14:paraId="6149E79B"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2B92CCD" w14:textId="0CD8E301" w:rsidR="00F324D4" w:rsidRDefault="005079B9" w:rsidP="00956034">
            <w:pPr>
              <w:widowControl w:val="0"/>
              <w:spacing w:line="240" w:lineRule="auto"/>
            </w:pPr>
            <w:r>
              <w:t>Signed object archive</w:t>
            </w:r>
          </w:p>
        </w:tc>
      </w:tr>
      <w:tr w:rsidR="00F324D4" w14:paraId="0572A376" w14:textId="77777777" w:rsidTr="00956034">
        <w:tc>
          <w:tcPr>
            <w:tcW w:w="1598" w:type="dxa"/>
            <w:shd w:val="clear" w:color="auto" w:fill="auto"/>
            <w:tcMar>
              <w:top w:w="100" w:type="dxa"/>
              <w:left w:w="100" w:type="dxa"/>
              <w:bottom w:w="100" w:type="dxa"/>
              <w:right w:w="100" w:type="dxa"/>
            </w:tcMar>
            <w:vAlign w:val="center"/>
          </w:tcPr>
          <w:p w14:paraId="392BA1C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59EA1D4B" w14:textId="632B1E05" w:rsidR="00F324D4" w:rsidRPr="005079B9" w:rsidRDefault="005079B9" w:rsidP="00956034">
            <w:pPr>
              <w:widowControl w:val="0"/>
              <w:spacing w:line="240" w:lineRule="auto"/>
              <w:rPr>
                <w:b/>
                <w:bCs/>
              </w:rPr>
            </w:pPr>
            <w:r w:rsidRPr="005079B9">
              <w:rPr>
                <w:b/>
                <w:bCs/>
              </w:rPr>
              <w:t>none</w:t>
            </w:r>
          </w:p>
        </w:tc>
      </w:tr>
    </w:tbl>
    <w:p w14:paraId="19F597D9" w14:textId="77777777" w:rsidR="00F324D4" w:rsidRDefault="00F324D4" w:rsidP="00F324D4"/>
    <w:p w14:paraId="7DCF1939" w14:textId="77777777" w:rsidR="00F324D4" w:rsidRDefault="00F324D4" w:rsidP="00F324D4">
      <w:pPr>
        <w:keepNext/>
        <w:spacing w:after="240"/>
        <w:jc w:val="center"/>
      </w:pPr>
      <w:r>
        <w:rPr>
          <w:noProof/>
        </w:rPr>
        <w:drawing>
          <wp:inline distT="0" distB="0" distL="0" distR="0" wp14:anchorId="34FAF409" wp14:editId="388ECAAD">
            <wp:extent cx="3242667" cy="440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247371" cy="4410113"/>
                    </a:xfrm>
                    <a:prstGeom prst="rect">
                      <a:avLst/>
                    </a:prstGeom>
                  </pic:spPr>
                </pic:pic>
              </a:graphicData>
            </a:graphic>
          </wp:inline>
        </w:drawing>
      </w:r>
    </w:p>
    <w:p w14:paraId="7957B656" w14:textId="75B7D30C" w:rsidR="00F324D4" w:rsidRDefault="007907A7" w:rsidP="00F324D4">
      <w:pPr>
        <w:spacing w:after="240"/>
        <w:jc w:val="both"/>
      </w:pPr>
      <w:r>
        <w:t xml:space="preserve">The </w:t>
      </w:r>
      <w:r w:rsidRPr="007907A7">
        <w:rPr>
          <w:b/>
          <w:bCs/>
        </w:rPr>
        <w:t>signed object</w:t>
      </w:r>
      <w:r>
        <w:t xml:space="preserve"> is copied into the </w:t>
      </w:r>
      <w:r w:rsidRPr="007907A7">
        <w:rPr>
          <w:b/>
          <w:bCs/>
        </w:rPr>
        <w:t>signed object archive</w:t>
      </w:r>
      <w:r>
        <w:t xml:space="preserve"> for auditing purposes.</w:t>
      </w:r>
    </w:p>
    <w:p w14:paraId="384DA1A5" w14:textId="77777777" w:rsidR="00F324D4" w:rsidRDefault="00F324D4">
      <w:pPr>
        <w:rPr>
          <w:sz w:val="32"/>
          <w:szCs w:val="32"/>
        </w:rPr>
      </w:pPr>
      <w:r>
        <w:br w:type="page"/>
      </w:r>
    </w:p>
    <w:p w14:paraId="71CBCEF3" w14:textId="3F178E96" w:rsidR="00F324D4" w:rsidRDefault="00F324D4" w:rsidP="00F324D4">
      <w:pPr>
        <w:pStyle w:val="Heading2"/>
        <w:jc w:val="both"/>
      </w:pPr>
      <w:r>
        <w:lastRenderedPageBreak/>
        <w:t>Return Signed Object</w:t>
      </w:r>
    </w:p>
    <w:tbl>
      <w:tblPr>
        <w:tblW w:w="4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2622"/>
      </w:tblGrid>
      <w:tr w:rsidR="00F324D4" w14:paraId="0CCA1B2A" w14:textId="77777777" w:rsidTr="005079B9">
        <w:tc>
          <w:tcPr>
            <w:tcW w:w="1598" w:type="dxa"/>
            <w:shd w:val="clear" w:color="auto" w:fill="auto"/>
            <w:tcMar>
              <w:top w:w="100" w:type="dxa"/>
              <w:left w:w="100" w:type="dxa"/>
              <w:bottom w:w="100" w:type="dxa"/>
              <w:right w:w="100" w:type="dxa"/>
            </w:tcMar>
            <w:vAlign w:val="center"/>
          </w:tcPr>
          <w:p w14:paraId="32CF3E88" w14:textId="77777777" w:rsidR="00F324D4" w:rsidRPr="00DC7542" w:rsidRDefault="00F324D4" w:rsidP="00956034">
            <w:pPr>
              <w:widowControl w:val="0"/>
              <w:spacing w:line="240" w:lineRule="auto"/>
              <w:jc w:val="right"/>
              <w:rPr>
                <w:b/>
                <w:bCs/>
              </w:rPr>
            </w:pPr>
            <w:r w:rsidRPr="00DC7542">
              <w:rPr>
                <w:b/>
                <w:bCs/>
              </w:rPr>
              <w:t>Inputs</w:t>
            </w:r>
          </w:p>
        </w:tc>
        <w:tc>
          <w:tcPr>
            <w:tcW w:w="2622" w:type="dxa"/>
            <w:shd w:val="clear" w:color="auto" w:fill="auto"/>
            <w:tcMar>
              <w:top w:w="100" w:type="dxa"/>
              <w:left w:w="100" w:type="dxa"/>
              <w:bottom w:w="100" w:type="dxa"/>
              <w:right w:w="100" w:type="dxa"/>
            </w:tcMar>
          </w:tcPr>
          <w:p w14:paraId="685C7B63" w14:textId="77777777" w:rsidR="00F324D4" w:rsidRDefault="005079B9" w:rsidP="00956034">
            <w:pPr>
              <w:widowControl w:val="0"/>
              <w:spacing w:line="240" w:lineRule="auto"/>
            </w:pPr>
            <w:r>
              <w:t>Signed object</w:t>
            </w:r>
          </w:p>
          <w:p w14:paraId="539EC3CB" w14:textId="1C75B577" w:rsidR="005079B9" w:rsidRDefault="005079B9" w:rsidP="00956034">
            <w:pPr>
              <w:widowControl w:val="0"/>
              <w:spacing w:line="240" w:lineRule="auto"/>
            </w:pPr>
            <w:r>
              <w:t>Signed object metadata</w:t>
            </w:r>
          </w:p>
        </w:tc>
      </w:tr>
      <w:tr w:rsidR="00F324D4" w14:paraId="52A60326" w14:textId="77777777" w:rsidTr="005079B9">
        <w:trPr>
          <w:trHeight w:val="16"/>
        </w:trPr>
        <w:tc>
          <w:tcPr>
            <w:tcW w:w="1598" w:type="dxa"/>
            <w:shd w:val="clear" w:color="auto" w:fill="auto"/>
            <w:tcMar>
              <w:top w:w="100" w:type="dxa"/>
              <w:left w:w="100" w:type="dxa"/>
              <w:bottom w:w="100" w:type="dxa"/>
              <w:right w:w="100" w:type="dxa"/>
            </w:tcMar>
            <w:vAlign w:val="center"/>
          </w:tcPr>
          <w:p w14:paraId="4080DA9F" w14:textId="77777777" w:rsidR="00F324D4" w:rsidRPr="00DC7542" w:rsidRDefault="00F324D4" w:rsidP="00956034">
            <w:pPr>
              <w:widowControl w:val="0"/>
              <w:spacing w:line="240" w:lineRule="auto"/>
              <w:jc w:val="right"/>
              <w:rPr>
                <w:b/>
                <w:bCs/>
              </w:rPr>
            </w:pPr>
            <w:r w:rsidRPr="00DC7542">
              <w:rPr>
                <w:b/>
                <w:bCs/>
              </w:rPr>
              <w:t>Outputs</w:t>
            </w:r>
          </w:p>
        </w:tc>
        <w:tc>
          <w:tcPr>
            <w:tcW w:w="2622" w:type="dxa"/>
            <w:shd w:val="clear" w:color="auto" w:fill="auto"/>
            <w:tcMar>
              <w:top w:w="100" w:type="dxa"/>
              <w:left w:w="100" w:type="dxa"/>
              <w:bottom w:w="100" w:type="dxa"/>
              <w:right w:w="100" w:type="dxa"/>
            </w:tcMar>
          </w:tcPr>
          <w:p w14:paraId="556D06AD" w14:textId="5F10E04D" w:rsidR="00F324D4" w:rsidRDefault="005079B9" w:rsidP="00956034">
            <w:pPr>
              <w:widowControl w:val="0"/>
              <w:spacing w:line="240" w:lineRule="auto"/>
            </w:pPr>
            <w:r>
              <w:t>Signed object bundle</w:t>
            </w:r>
          </w:p>
        </w:tc>
      </w:tr>
      <w:tr w:rsidR="00F324D4" w14:paraId="042CFA2D" w14:textId="77777777" w:rsidTr="005079B9">
        <w:tc>
          <w:tcPr>
            <w:tcW w:w="1598" w:type="dxa"/>
            <w:shd w:val="clear" w:color="auto" w:fill="auto"/>
            <w:tcMar>
              <w:top w:w="100" w:type="dxa"/>
              <w:left w:w="100" w:type="dxa"/>
              <w:bottom w:w="100" w:type="dxa"/>
              <w:right w:w="100" w:type="dxa"/>
            </w:tcMar>
            <w:vAlign w:val="center"/>
          </w:tcPr>
          <w:p w14:paraId="45D39CA6" w14:textId="77777777" w:rsidR="00F324D4" w:rsidRPr="00DC7542" w:rsidRDefault="00F324D4" w:rsidP="00956034">
            <w:pPr>
              <w:widowControl w:val="0"/>
              <w:spacing w:line="240" w:lineRule="auto"/>
              <w:jc w:val="right"/>
              <w:rPr>
                <w:b/>
                <w:bCs/>
              </w:rPr>
            </w:pPr>
            <w:r w:rsidRPr="00DC7542">
              <w:rPr>
                <w:b/>
                <w:bCs/>
              </w:rPr>
              <w:t>Participants</w:t>
            </w:r>
          </w:p>
        </w:tc>
        <w:tc>
          <w:tcPr>
            <w:tcW w:w="2622" w:type="dxa"/>
            <w:shd w:val="clear" w:color="auto" w:fill="auto"/>
            <w:tcMar>
              <w:top w:w="100" w:type="dxa"/>
              <w:left w:w="100" w:type="dxa"/>
              <w:bottom w:w="100" w:type="dxa"/>
              <w:right w:w="100" w:type="dxa"/>
            </w:tcMar>
          </w:tcPr>
          <w:p w14:paraId="622D6FF5" w14:textId="459595BF" w:rsidR="00F324D4" w:rsidRPr="005079B9" w:rsidRDefault="005079B9" w:rsidP="00956034">
            <w:pPr>
              <w:widowControl w:val="0"/>
              <w:spacing w:line="240" w:lineRule="auto"/>
              <w:rPr>
                <w:b/>
                <w:bCs/>
              </w:rPr>
            </w:pPr>
            <w:r w:rsidRPr="005079B9">
              <w:rPr>
                <w:b/>
                <w:bCs/>
              </w:rPr>
              <w:t>none</w:t>
            </w:r>
          </w:p>
        </w:tc>
      </w:tr>
    </w:tbl>
    <w:p w14:paraId="4C86409A" w14:textId="77777777" w:rsidR="00F324D4" w:rsidRDefault="00F324D4" w:rsidP="00F324D4"/>
    <w:p w14:paraId="55692CE2" w14:textId="77777777" w:rsidR="00F324D4" w:rsidRDefault="00F324D4" w:rsidP="00F324D4">
      <w:pPr>
        <w:keepNext/>
        <w:spacing w:after="240"/>
        <w:jc w:val="center"/>
      </w:pPr>
      <w:r>
        <w:rPr>
          <w:noProof/>
        </w:rPr>
        <w:drawing>
          <wp:inline distT="0" distB="0" distL="0" distR="0" wp14:anchorId="2E176618" wp14:editId="17D98C9A">
            <wp:extent cx="3404911" cy="4396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404911" cy="4396632"/>
                    </a:xfrm>
                    <a:prstGeom prst="rect">
                      <a:avLst/>
                    </a:prstGeom>
                  </pic:spPr>
                </pic:pic>
              </a:graphicData>
            </a:graphic>
          </wp:inline>
        </w:drawing>
      </w:r>
    </w:p>
    <w:p w14:paraId="76E0EE00" w14:textId="0F8ACECE"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artifacts are grouped together into a </w:t>
      </w:r>
      <w:r w:rsidRPr="007907A7">
        <w:rPr>
          <w:b/>
          <w:bCs/>
        </w:rPr>
        <w:t>signed object bundle</w:t>
      </w:r>
      <w:r>
        <w:t xml:space="preserve"> for return to the submitter.</w:t>
      </w:r>
    </w:p>
    <w:p w14:paraId="2CD5D876" w14:textId="77777777" w:rsidR="00F324D4" w:rsidRDefault="00F324D4">
      <w:pPr>
        <w:rPr>
          <w:sz w:val="32"/>
          <w:szCs w:val="32"/>
        </w:rPr>
      </w:pPr>
      <w:r>
        <w:br w:type="page"/>
      </w:r>
    </w:p>
    <w:p w14:paraId="702DD135" w14:textId="5F29224F" w:rsidR="00F324D4" w:rsidRDefault="00F324D4" w:rsidP="00F324D4">
      <w:pPr>
        <w:pStyle w:val="Heading2"/>
        <w:jc w:val="both"/>
      </w:pPr>
      <w:r>
        <w:lastRenderedPageBreak/>
        <w:t>Unbundle Elements</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015B4223" w14:textId="77777777" w:rsidTr="00956034">
        <w:tc>
          <w:tcPr>
            <w:tcW w:w="1598" w:type="dxa"/>
            <w:shd w:val="clear" w:color="auto" w:fill="auto"/>
            <w:tcMar>
              <w:top w:w="100" w:type="dxa"/>
              <w:left w:w="100" w:type="dxa"/>
              <w:bottom w:w="100" w:type="dxa"/>
              <w:right w:w="100" w:type="dxa"/>
            </w:tcMar>
            <w:vAlign w:val="center"/>
          </w:tcPr>
          <w:p w14:paraId="28BFCF06"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6175DAE4" w14:textId="63524BA2" w:rsidR="00F324D4" w:rsidRDefault="005079B9" w:rsidP="00956034">
            <w:pPr>
              <w:widowControl w:val="0"/>
              <w:spacing w:line="240" w:lineRule="auto"/>
            </w:pPr>
            <w:r>
              <w:t>Signed object bundle</w:t>
            </w:r>
          </w:p>
        </w:tc>
      </w:tr>
      <w:tr w:rsidR="00F324D4" w14:paraId="1984B0F3" w14:textId="77777777" w:rsidTr="00956034">
        <w:trPr>
          <w:trHeight w:val="16"/>
        </w:trPr>
        <w:tc>
          <w:tcPr>
            <w:tcW w:w="1598" w:type="dxa"/>
            <w:shd w:val="clear" w:color="auto" w:fill="auto"/>
            <w:tcMar>
              <w:top w:w="100" w:type="dxa"/>
              <w:left w:w="100" w:type="dxa"/>
              <w:bottom w:w="100" w:type="dxa"/>
              <w:right w:w="100" w:type="dxa"/>
            </w:tcMar>
            <w:vAlign w:val="center"/>
          </w:tcPr>
          <w:p w14:paraId="2504DC0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55E96E2" w14:textId="77777777" w:rsidR="00F324D4" w:rsidRDefault="005079B9" w:rsidP="00956034">
            <w:pPr>
              <w:widowControl w:val="0"/>
              <w:spacing w:line="240" w:lineRule="auto"/>
            </w:pPr>
            <w:r>
              <w:t>Signed object</w:t>
            </w:r>
          </w:p>
          <w:p w14:paraId="2B37DF77" w14:textId="28749F6A" w:rsidR="005079B9" w:rsidRDefault="005079B9" w:rsidP="00956034">
            <w:pPr>
              <w:widowControl w:val="0"/>
              <w:spacing w:line="240" w:lineRule="auto"/>
            </w:pPr>
            <w:r>
              <w:t>Signed object metadata</w:t>
            </w:r>
          </w:p>
        </w:tc>
      </w:tr>
      <w:tr w:rsidR="00F324D4" w14:paraId="6C4012E8" w14:textId="77777777" w:rsidTr="00956034">
        <w:tc>
          <w:tcPr>
            <w:tcW w:w="1598" w:type="dxa"/>
            <w:shd w:val="clear" w:color="auto" w:fill="auto"/>
            <w:tcMar>
              <w:top w:w="100" w:type="dxa"/>
              <w:left w:w="100" w:type="dxa"/>
              <w:bottom w:w="100" w:type="dxa"/>
              <w:right w:w="100" w:type="dxa"/>
            </w:tcMar>
            <w:vAlign w:val="center"/>
          </w:tcPr>
          <w:p w14:paraId="1285102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5C972A6" w14:textId="790A8F3F" w:rsidR="00F324D4" w:rsidRPr="005079B9" w:rsidRDefault="005079B9" w:rsidP="00956034">
            <w:pPr>
              <w:widowControl w:val="0"/>
              <w:spacing w:line="240" w:lineRule="auto"/>
              <w:rPr>
                <w:b/>
                <w:bCs/>
              </w:rPr>
            </w:pPr>
            <w:r w:rsidRPr="005079B9">
              <w:rPr>
                <w:b/>
                <w:bCs/>
              </w:rPr>
              <w:t>none</w:t>
            </w:r>
          </w:p>
        </w:tc>
      </w:tr>
    </w:tbl>
    <w:p w14:paraId="71224EDB" w14:textId="77777777" w:rsidR="00F324D4" w:rsidRDefault="00F324D4" w:rsidP="00F324D4"/>
    <w:p w14:paraId="4C381C12" w14:textId="77777777" w:rsidR="00F324D4" w:rsidRDefault="00F324D4" w:rsidP="00F324D4">
      <w:pPr>
        <w:keepNext/>
        <w:spacing w:after="240"/>
        <w:jc w:val="center"/>
      </w:pPr>
      <w:r>
        <w:rPr>
          <w:noProof/>
        </w:rPr>
        <w:drawing>
          <wp:inline distT="0" distB="0" distL="0" distR="0" wp14:anchorId="07D4E4AC" wp14:editId="7852C8E9">
            <wp:extent cx="3574533" cy="44038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574533" cy="4403892"/>
                    </a:xfrm>
                    <a:prstGeom prst="rect">
                      <a:avLst/>
                    </a:prstGeom>
                  </pic:spPr>
                </pic:pic>
              </a:graphicData>
            </a:graphic>
          </wp:inline>
        </w:drawing>
      </w:r>
    </w:p>
    <w:p w14:paraId="39E7D043" w14:textId="28D7AA2C" w:rsidR="00F324D4" w:rsidRPr="007907A7" w:rsidRDefault="007907A7" w:rsidP="007907A7">
      <w:pPr>
        <w:spacing w:after="240"/>
        <w:jc w:val="both"/>
      </w:pPr>
      <w:r>
        <w:t xml:space="preserve">The returned </w:t>
      </w:r>
      <w:r w:rsidRPr="007907A7">
        <w:rPr>
          <w:b/>
          <w:bCs/>
        </w:rPr>
        <w:t>signed object bundle</w:t>
      </w:r>
      <w:r>
        <w:t xml:space="preserve"> is unbundled into the </w:t>
      </w:r>
      <w:r w:rsidRPr="007907A7">
        <w:rPr>
          <w:b/>
          <w:bCs/>
        </w:rPr>
        <w:t>signed object</w:t>
      </w:r>
      <w:r>
        <w:t xml:space="preserve"> and </w:t>
      </w:r>
      <w:r w:rsidRPr="007907A7">
        <w:rPr>
          <w:b/>
          <w:bCs/>
        </w:rPr>
        <w:t>signed object metadata</w:t>
      </w:r>
      <w:r>
        <w:t xml:space="preserve"> artifacts</w:t>
      </w:r>
      <w:r w:rsidR="00F324D4">
        <w:t>.</w:t>
      </w:r>
      <w:r w:rsidR="00F324D4">
        <w:br w:type="page"/>
      </w:r>
    </w:p>
    <w:p w14:paraId="1C660A80" w14:textId="73DF90B0" w:rsidR="00F324D4" w:rsidRDefault="00F324D4" w:rsidP="00F324D4">
      <w:pPr>
        <w:pStyle w:val="Heading2"/>
        <w:jc w:val="both"/>
      </w:pPr>
      <w:r>
        <w:lastRenderedPageBreak/>
        <w:t>Store Object and Metadata</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2126F286" w14:textId="77777777" w:rsidTr="00956034">
        <w:tc>
          <w:tcPr>
            <w:tcW w:w="1598" w:type="dxa"/>
            <w:shd w:val="clear" w:color="auto" w:fill="auto"/>
            <w:tcMar>
              <w:top w:w="100" w:type="dxa"/>
              <w:left w:w="100" w:type="dxa"/>
              <w:bottom w:w="100" w:type="dxa"/>
              <w:right w:w="100" w:type="dxa"/>
            </w:tcMar>
            <w:vAlign w:val="center"/>
          </w:tcPr>
          <w:p w14:paraId="11AD851A"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355F02DB" w14:textId="77777777" w:rsidR="00F324D4" w:rsidRDefault="005079B9" w:rsidP="00956034">
            <w:pPr>
              <w:widowControl w:val="0"/>
              <w:spacing w:line="240" w:lineRule="auto"/>
            </w:pPr>
            <w:r>
              <w:t>Signed object</w:t>
            </w:r>
          </w:p>
          <w:p w14:paraId="48D7FD8D" w14:textId="77486BBD" w:rsidR="005079B9" w:rsidRDefault="005079B9" w:rsidP="00956034">
            <w:pPr>
              <w:widowControl w:val="0"/>
              <w:spacing w:line="240" w:lineRule="auto"/>
            </w:pPr>
            <w:r>
              <w:t>Signed object metadata</w:t>
            </w:r>
          </w:p>
        </w:tc>
      </w:tr>
      <w:tr w:rsidR="00F324D4" w14:paraId="601F0DB7" w14:textId="77777777" w:rsidTr="00956034">
        <w:trPr>
          <w:trHeight w:val="16"/>
        </w:trPr>
        <w:tc>
          <w:tcPr>
            <w:tcW w:w="1598" w:type="dxa"/>
            <w:shd w:val="clear" w:color="auto" w:fill="auto"/>
            <w:tcMar>
              <w:top w:w="100" w:type="dxa"/>
              <w:left w:w="100" w:type="dxa"/>
              <w:bottom w:w="100" w:type="dxa"/>
              <w:right w:w="100" w:type="dxa"/>
            </w:tcMar>
            <w:vAlign w:val="center"/>
          </w:tcPr>
          <w:p w14:paraId="6E32D286"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13D4A733" w14:textId="2AFDC34E" w:rsidR="00F324D4" w:rsidRDefault="005079B9" w:rsidP="00956034">
            <w:pPr>
              <w:widowControl w:val="0"/>
              <w:spacing w:line="240" w:lineRule="auto"/>
            </w:pPr>
            <w:r>
              <w:t>Signed object / hash datastore</w:t>
            </w:r>
          </w:p>
        </w:tc>
      </w:tr>
      <w:tr w:rsidR="00F324D4" w14:paraId="4E94DF9D" w14:textId="77777777" w:rsidTr="00956034">
        <w:tc>
          <w:tcPr>
            <w:tcW w:w="1598" w:type="dxa"/>
            <w:shd w:val="clear" w:color="auto" w:fill="auto"/>
            <w:tcMar>
              <w:top w:w="100" w:type="dxa"/>
              <w:left w:w="100" w:type="dxa"/>
              <w:bottom w:w="100" w:type="dxa"/>
              <w:right w:w="100" w:type="dxa"/>
            </w:tcMar>
            <w:vAlign w:val="center"/>
          </w:tcPr>
          <w:p w14:paraId="225E1C8B"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0F79CC07" w14:textId="16B71F2D" w:rsidR="00F324D4" w:rsidRPr="005079B9" w:rsidRDefault="005079B9" w:rsidP="00956034">
            <w:pPr>
              <w:widowControl w:val="0"/>
              <w:spacing w:line="240" w:lineRule="auto"/>
              <w:rPr>
                <w:b/>
                <w:bCs/>
              </w:rPr>
            </w:pPr>
            <w:r w:rsidRPr="005079B9">
              <w:rPr>
                <w:b/>
                <w:bCs/>
              </w:rPr>
              <w:t>none</w:t>
            </w:r>
          </w:p>
        </w:tc>
      </w:tr>
    </w:tbl>
    <w:p w14:paraId="40537748" w14:textId="77777777" w:rsidR="00F324D4" w:rsidRDefault="00F324D4" w:rsidP="00F324D4"/>
    <w:p w14:paraId="5D13D88D" w14:textId="77777777" w:rsidR="00F324D4" w:rsidRDefault="00F324D4" w:rsidP="00F324D4">
      <w:pPr>
        <w:keepNext/>
        <w:spacing w:after="240"/>
        <w:jc w:val="center"/>
      </w:pPr>
      <w:r>
        <w:rPr>
          <w:noProof/>
        </w:rPr>
        <w:drawing>
          <wp:inline distT="0" distB="0" distL="0" distR="0" wp14:anchorId="5251DD24" wp14:editId="6195AD5E">
            <wp:extent cx="3567679" cy="4403725"/>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568312" cy="4404506"/>
                    </a:xfrm>
                    <a:prstGeom prst="rect">
                      <a:avLst/>
                    </a:prstGeom>
                  </pic:spPr>
                </pic:pic>
              </a:graphicData>
            </a:graphic>
          </wp:inline>
        </w:drawing>
      </w:r>
    </w:p>
    <w:p w14:paraId="65AA537D" w14:textId="167F7695"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are associated and copied into the </w:t>
      </w:r>
      <w:r w:rsidRPr="007907A7">
        <w:rPr>
          <w:b/>
          <w:bCs/>
        </w:rPr>
        <w:t>signed object / hash datastore</w:t>
      </w:r>
      <w:r>
        <w:t>.</w:t>
      </w:r>
    </w:p>
    <w:p w14:paraId="23EE78F6" w14:textId="77777777" w:rsidR="00F324D4" w:rsidRDefault="00F324D4">
      <w:pPr>
        <w:rPr>
          <w:sz w:val="32"/>
          <w:szCs w:val="32"/>
        </w:rPr>
      </w:pPr>
      <w:r>
        <w:br w:type="page"/>
      </w:r>
    </w:p>
    <w:p w14:paraId="1E7C3121" w14:textId="20B9B38F" w:rsidR="00F324D4" w:rsidRDefault="00F324D4" w:rsidP="00F324D4">
      <w:pPr>
        <w:pStyle w:val="Heading2"/>
        <w:jc w:val="both"/>
      </w:pPr>
      <w:r>
        <w:lastRenderedPageBreak/>
        <w:t>Update CV-PV Data</w:t>
      </w:r>
    </w:p>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702"/>
      </w:tblGrid>
      <w:tr w:rsidR="00F324D4" w14:paraId="7422F82E" w14:textId="77777777" w:rsidTr="005079B9">
        <w:tc>
          <w:tcPr>
            <w:tcW w:w="1598" w:type="dxa"/>
            <w:shd w:val="clear" w:color="auto" w:fill="auto"/>
            <w:tcMar>
              <w:top w:w="100" w:type="dxa"/>
              <w:left w:w="100" w:type="dxa"/>
              <w:bottom w:w="100" w:type="dxa"/>
              <w:right w:w="100" w:type="dxa"/>
            </w:tcMar>
            <w:vAlign w:val="center"/>
          </w:tcPr>
          <w:p w14:paraId="1D7571DE" w14:textId="77777777" w:rsidR="00F324D4" w:rsidRPr="00DC7542" w:rsidRDefault="00F324D4" w:rsidP="00956034">
            <w:pPr>
              <w:widowControl w:val="0"/>
              <w:spacing w:line="240" w:lineRule="auto"/>
              <w:jc w:val="right"/>
              <w:rPr>
                <w:b/>
                <w:bCs/>
              </w:rPr>
            </w:pPr>
            <w:r w:rsidRPr="00DC7542">
              <w:rPr>
                <w:b/>
                <w:bCs/>
              </w:rPr>
              <w:t>Inputs</w:t>
            </w:r>
          </w:p>
        </w:tc>
        <w:tc>
          <w:tcPr>
            <w:tcW w:w="3702" w:type="dxa"/>
            <w:shd w:val="clear" w:color="auto" w:fill="auto"/>
            <w:tcMar>
              <w:top w:w="100" w:type="dxa"/>
              <w:left w:w="100" w:type="dxa"/>
              <w:bottom w:w="100" w:type="dxa"/>
              <w:right w:w="100" w:type="dxa"/>
            </w:tcMar>
          </w:tcPr>
          <w:p w14:paraId="3D9E11F0" w14:textId="4909B842" w:rsidR="00F324D4" w:rsidRDefault="005079B9" w:rsidP="00956034">
            <w:pPr>
              <w:widowControl w:val="0"/>
              <w:spacing w:line="240" w:lineRule="auto"/>
            </w:pPr>
            <w:r>
              <w:t>Signed object metadata</w:t>
            </w:r>
          </w:p>
        </w:tc>
      </w:tr>
      <w:tr w:rsidR="00F324D4" w14:paraId="6C7BC493" w14:textId="77777777" w:rsidTr="005079B9">
        <w:trPr>
          <w:trHeight w:val="16"/>
        </w:trPr>
        <w:tc>
          <w:tcPr>
            <w:tcW w:w="1598" w:type="dxa"/>
            <w:shd w:val="clear" w:color="auto" w:fill="auto"/>
            <w:tcMar>
              <w:top w:w="100" w:type="dxa"/>
              <w:left w:w="100" w:type="dxa"/>
              <w:bottom w:w="100" w:type="dxa"/>
              <w:right w:w="100" w:type="dxa"/>
            </w:tcMar>
            <w:vAlign w:val="center"/>
          </w:tcPr>
          <w:p w14:paraId="7C97EE4D" w14:textId="77777777" w:rsidR="00F324D4" w:rsidRPr="00DC7542" w:rsidRDefault="00F324D4" w:rsidP="00956034">
            <w:pPr>
              <w:widowControl w:val="0"/>
              <w:spacing w:line="240" w:lineRule="auto"/>
              <w:jc w:val="right"/>
              <w:rPr>
                <w:b/>
                <w:bCs/>
              </w:rPr>
            </w:pPr>
            <w:r w:rsidRPr="00DC7542">
              <w:rPr>
                <w:b/>
                <w:bCs/>
              </w:rPr>
              <w:t>Outputs</w:t>
            </w:r>
          </w:p>
        </w:tc>
        <w:tc>
          <w:tcPr>
            <w:tcW w:w="3702" w:type="dxa"/>
            <w:shd w:val="clear" w:color="auto" w:fill="auto"/>
            <w:tcMar>
              <w:top w:w="100" w:type="dxa"/>
              <w:left w:w="100" w:type="dxa"/>
              <w:bottom w:w="100" w:type="dxa"/>
              <w:right w:w="100" w:type="dxa"/>
            </w:tcMar>
          </w:tcPr>
          <w:p w14:paraId="23D63A00" w14:textId="34C42C02" w:rsidR="00F324D4" w:rsidRDefault="005079B9" w:rsidP="00956034">
            <w:pPr>
              <w:widowControl w:val="0"/>
              <w:spacing w:line="240" w:lineRule="auto"/>
            </w:pPr>
            <w:r>
              <w:t>CV – PV cross-reference database</w:t>
            </w:r>
          </w:p>
        </w:tc>
      </w:tr>
      <w:tr w:rsidR="00F324D4" w14:paraId="7ADF644A" w14:textId="77777777" w:rsidTr="005079B9">
        <w:tc>
          <w:tcPr>
            <w:tcW w:w="1598" w:type="dxa"/>
            <w:shd w:val="clear" w:color="auto" w:fill="auto"/>
            <w:tcMar>
              <w:top w:w="100" w:type="dxa"/>
              <w:left w:w="100" w:type="dxa"/>
              <w:bottom w:w="100" w:type="dxa"/>
              <w:right w:w="100" w:type="dxa"/>
            </w:tcMar>
            <w:vAlign w:val="center"/>
          </w:tcPr>
          <w:p w14:paraId="63312C8B" w14:textId="77777777" w:rsidR="00F324D4" w:rsidRPr="00DC7542" w:rsidRDefault="00F324D4" w:rsidP="00956034">
            <w:pPr>
              <w:widowControl w:val="0"/>
              <w:spacing w:line="240" w:lineRule="auto"/>
              <w:jc w:val="right"/>
              <w:rPr>
                <w:b/>
                <w:bCs/>
              </w:rPr>
            </w:pPr>
            <w:r w:rsidRPr="00DC7542">
              <w:rPr>
                <w:b/>
                <w:bCs/>
              </w:rPr>
              <w:t>Participants</w:t>
            </w:r>
          </w:p>
        </w:tc>
        <w:tc>
          <w:tcPr>
            <w:tcW w:w="3702" w:type="dxa"/>
            <w:shd w:val="clear" w:color="auto" w:fill="auto"/>
            <w:tcMar>
              <w:top w:w="100" w:type="dxa"/>
              <w:left w:w="100" w:type="dxa"/>
              <w:bottom w:w="100" w:type="dxa"/>
              <w:right w:w="100" w:type="dxa"/>
            </w:tcMar>
          </w:tcPr>
          <w:p w14:paraId="7086B51F" w14:textId="120A376F" w:rsidR="00F324D4" w:rsidRDefault="005079B9" w:rsidP="00956034">
            <w:pPr>
              <w:widowControl w:val="0"/>
              <w:spacing w:line="240" w:lineRule="auto"/>
            </w:pPr>
            <w:r>
              <w:t>none</w:t>
            </w:r>
          </w:p>
        </w:tc>
      </w:tr>
    </w:tbl>
    <w:p w14:paraId="671758CD" w14:textId="77777777" w:rsidR="00F324D4" w:rsidRDefault="00F324D4" w:rsidP="00F324D4"/>
    <w:p w14:paraId="05B69C4C" w14:textId="77777777" w:rsidR="00F324D4" w:rsidRDefault="00F324D4" w:rsidP="00F324D4">
      <w:pPr>
        <w:keepNext/>
        <w:spacing w:after="240"/>
        <w:jc w:val="center"/>
      </w:pPr>
      <w:r>
        <w:rPr>
          <w:noProof/>
        </w:rPr>
        <w:drawing>
          <wp:inline distT="0" distB="0" distL="0" distR="0" wp14:anchorId="66479FD3" wp14:editId="673A1ECF">
            <wp:extent cx="3409950" cy="440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418916" cy="4414717"/>
                    </a:xfrm>
                    <a:prstGeom prst="rect">
                      <a:avLst/>
                    </a:prstGeom>
                  </pic:spPr>
                </pic:pic>
              </a:graphicData>
            </a:graphic>
          </wp:inline>
        </w:drawing>
      </w:r>
    </w:p>
    <w:p w14:paraId="39F77B72" w14:textId="48A08FE3" w:rsidR="00F324D4" w:rsidRDefault="007907A7" w:rsidP="00F324D4">
      <w:pPr>
        <w:spacing w:after="240"/>
        <w:jc w:val="both"/>
      </w:pPr>
      <w:r>
        <w:t xml:space="preserve">The </w:t>
      </w:r>
      <w:r w:rsidRPr="007907A7">
        <w:rPr>
          <w:b/>
          <w:bCs/>
        </w:rPr>
        <w:t>signed object metadata</w:t>
      </w:r>
      <w:r>
        <w:t xml:space="preserve"> is used to update the object’s entry in the </w:t>
      </w:r>
      <w:r w:rsidRPr="007907A7">
        <w:rPr>
          <w:b/>
          <w:bCs/>
        </w:rPr>
        <w:t>Component/Version – Product/Version (CV-PV) cross-reference database</w:t>
      </w:r>
      <w:r w:rsidR="006C53C1">
        <w:rPr>
          <w:b/>
          <w:bCs/>
        </w:rPr>
        <w:t xml:space="preserve"> </w:t>
      </w:r>
      <w:r w:rsidR="006C53C1" w:rsidRPr="006C53C1">
        <w:rPr>
          <w:b/>
          <w:bCs/>
          <w:color w:val="0070C0"/>
          <w:vertAlign w:val="superscript"/>
        </w:rPr>
        <w:t>[5]</w:t>
      </w:r>
      <w:r>
        <w:t>.</w:t>
      </w:r>
    </w:p>
    <w:p w14:paraId="10C62F78" w14:textId="77777777" w:rsidR="005079B9" w:rsidRDefault="005079B9">
      <w:pPr>
        <w:rPr>
          <w:sz w:val="40"/>
          <w:szCs w:val="40"/>
        </w:rPr>
      </w:pPr>
      <w:r>
        <w:br w:type="page"/>
      </w:r>
    </w:p>
    <w:p w14:paraId="0000000C" w14:textId="2CFD6987" w:rsidR="00E27AF5" w:rsidRDefault="008C1D59">
      <w:pPr>
        <w:pStyle w:val="Heading1"/>
      </w:pPr>
      <w:r>
        <w:lastRenderedPageBreak/>
        <w:t>References</w:t>
      </w:r>
    </w:p>
    <w:p w14:paraId="4A82EF70" w14:textId="77777777" w:rsidR="00B739EE" w:rsidRDefault="00D97404" w:rsidP="00B739EE">
      <w:pPr>
        <w:pStyle w:val="ListParagraph"/>
        <w:numPr>
          <w:ilvl w:val="0"/>
          <w:numId w:val="2"/>
        </w:numPr>
        <w:rPr>
          <w:rStyle w:val="Hyperlink"/>
          <w:b/>
          <w:color w:val="auto"/>
          <w:u w:val="none"/>
        </w:rPr>
      </w:pPr>
      <w:bookmarkStart w:id="6" w:name="ref_01"/>
      <w:bookmarkEnd w:id="6"/>
      <w:r>
        <w:rPr>
          <w:b/>
        </w:rPr>
        <w:t xml:space="preserve">Code Protection Plan </w:t>
      </w:r>
      <w:r w:rsidRPr="00D97404">
        <w:rPr>
          <w:bCs/>
        </w:rPr>
        <w:t>(AVCDL secondary document)</w:t>
      </w:r>
      <w:r w:rsidRPr="00D97404">
        <w:rPr>
          <w:rStyle w:val="Hyperlink"/>
          <w:b/>
          <w:color w:val="auto"/>
          <w:u w:val="none"/>
        </w:rPr>
        <w:t xml:space="preserve"> </w:t>
      </w:r>
    </w:p>
    <w:p w14:paraId="34E74919" w14:textId="175F9FD2" w:rsidR="00B739EE" w:rsidRPr="00B739EE" w:rsidRDefault="00B739EE" w:rsidP="00B739EE">
      <w:pPr>
        <w:pStyle w:val="ListParagraph"/>
        <w:numPr>
          <w:ilvl w:val="0"/>
          <w:numId w:val="2"/>
        </w:numPr>
        <w:rPr>
          <w:b/>
        </w:rPr>
      </w:pPr>
      <w:r w:rsidRPr="00B739EE">
        <w:rPr>
          <w:b/>
        </w:rPr>
        <w:t>Code Signing Best Practices</w:t>
      </w:r>
      <w:r w:rsidR="00D46690" w:rsidRPr="00B739EE">
        <w:rPr>
          <w:b/>
        </w:rPr>
        <w:br/>
      </w:r>
      <w:hyperlink r:id="rId22" w:history="1">
        <w:r w:rsidRPr="001648D1">
          <w:rPr>
            <w:rStyle w:val="Hyperlink"/>
          </w:rPr>
          <w:t>https://download.microsoft.com/download/a/f/7/af7777e5-7dcd-4800-8a0a-b18336565f5b/best_practices.doc</w:t>
        </w:r>
      </w:hyperlink>
      <w:r>
        <w:t xml:space="preserve"> </w:t>
      </w:r>
    </w:p>
    <w:p w14:paraId="33B322EA" w14:textId="3FE81259" w:rsidR="00BD2EA3" w:rsidRPr="00B739EE" w:rsidRDefault="00B739EE" w:rsidP="00B739EE">
      <w:pPr>
        <w:pStyle w:val="ListParagraph"/>
        <w:numPr>
          <w:ilvl w:val="0"/>
          <w:numId w:val="2"/>
        </w:numPr>
        <w:rPr>
          <w:b/>
        </w:rPr>
      </w:pPr>
      <w:r>
        <w:rPr>
          <w:rStyle w:val="Hyperlink"/>
          <w:b/>
          <w:color w:val="auto"/>
          <w:u w:val="none"/>
        </w:rPr>
        <w:t>Security Considerations for Code Signing</w:t>
      </w:r>
      <w:r w:rsidR="00BD2EA3" w:rsidRPr="00B739EE">
        <w:rPr>
          <w:rStyle w:val="Hyperlink"/>
          <w:b/>
          <w:color w:val="auto"/>
          <w:u w:val="none"/>
        </w:rPr>
        <w:br/>
      </w:r>
      <w:hyperlink r:id="rId23" w:history="1">
        <w:r w:rsidRPr="001648D1">
          <w:rPr>
            <w:rStyle w:val="Hyperlink"/>
          </w:rPr>
          <w:t>https://nvlpubs.nist.gov/nistpubs/CSWP/NIST.CSWP.01262018.pdf</w:t>
        </w:r>
      </w:hyperlink>
      <w:r>
        <w:t xml:space="preserve"> </w:t>
      </w:r>
    </w:p>
    <w:p w14:paraId="4514BEF7" w14:textId="52BCD0C7" w:rsidR="00B739EE" w:rsidRDefault="00B739EE" w:rsidP="00B739EE">
      <w:pPr>
        <w:pStyle w:val="ListParagraph"/>
        <w:numPr>
          <w:ilvl w:val="0"/>
          <w:numId w:val="2"/>
        </w:numPr>
        <w:rPr>
          <w:b/>
        </w:rPr>
      </w:pPr>
      <w:r>
        <w:rPr>
          <w:rStyle w:val="Hyperlink"/>
          <w:b/>
          <w:color w:val="auto"/>
          <w:u w:val="none"/>
        </w:rPr>
        <w:t>Protecting Software Integrity Through Code Signing</w:t>
      </w:r>
      <w:r>
        <w:rPr>
          <w:rStyle w:val="Hyperlink"/>
          <w:b/>
          <w:color w:val="auto"/>
          <w:u w:val="none"/>
        </w:rPr>
        <w:br/>
      </w:r>
      <w:hyperlink r:id="rId24" w:history="1">
        <w:r w:rsidRPr="00B739EE">
          <w:rPr>
            <w:rStyle w:val="Hyperlink"/>
            <w:bCs/>
          </w:rPr>
          <w:t>https://tsapps.nist.gov/publication/get_pdf.cfm?pub_id=925977</w:t>
        </w:r>
      </w:hyperlink>
      <w:r>
        <w:rPr>
          <w:b/>
        </w:rPr>
        <w:t xml:space="preserve"> </w:t>
      </w:r>
    </w:p>
    <w:p w14:paraId="30A24FEA" w14:textId="1C996AD6" w:rsidR="006C53C1" w:rsidRPr="00B739EE" w:rsidRDefault="006C53C1" w:rsidP="00B739EE">
      <w:pPr>
        <w:pStyle w:val="ListParagraph"/>
        <w:numPr>
          <w:ilvl w:val="0"/>
          <w:numId w:val="2"/>
        </w:numPr>
        <w:rPr>
          <w:b/>
        </w:rPr>
      </w:pPr>
      <w:r w:rsidRPr="006C53C1">
        <w:rPr>
          <w:b/>
        </w:rPr>
        <w:t xml:space="preserve">Component </w:t>
      </w:r>
      <w:r>
        <w:rPr>
          <w:b/>
        </w:rPr>
        <w:t>/</w:t>
      </w:r>
      <w:r w:rsidRPr="006C53C1">
        <w:rPr>
          <w:b/>
        </w:rPr>
        <w:t xml:space="preserve"> Version - Product </w:t>
      </w:r>
      <w:r>
        <w:rPr>
          <w:b/>
        </w:rPr>
        <w:t>/</w:t>
      </w:r>
      <w:r w:rsidRPr="006C53C1">
        <w:rPr>
          <w:b/>
        </w:rPr>
        <w:t xml:space="preserve"> Version Cross-reference Document</w:t>
      </w:r>
      <w:r>
        <w:rPr>
          <w:b/>
        </w:rPr>
        <w:t xml:space="preserve"> </w:t>
      </w:r>
      <w:r w:rsidRPr="006C53C1">
        <w:rPr>
          <w:bCs/>
        </w:rPr>
        <w:t>(AVCDL secondary document)</w:t>
      </w:r>
    </w:p>
    <w:p w14:paraId="344FD54D" w14:textId="5043A654" w:rsidR="00BD2EA3" w:rsidRPr="00BD2EA3" w:rsidRDefault="00BD2EA3" w:rsidP="00BD2EA3">
      <w:pPr>
        <w:pStyle w:val="ListParagraph"/>
        <w:ind w:left="360"/>
        <w:rPr>
          <w:rStyle w:val="Hyperlink"/>
          <w:b/>
          <w:color w:val="auto"/>
          <w:u w:val="none"/>
        </w:rPr>
      </w:pPr>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27C0E" w14:textId="77777777" w:rsidR="007569EF" w:rsidRDefault="007569EF" w:rsidP="004834EE">
      <w:pPr>
        <w:spacing w:line="240" w:lineRule="auto"/>
      </w:pPr>
      <w:r>
        <w:separator/>
      </w:r>
    </w:p>
  </w:endnote>
  <w:endnote w:type="continuationSeparator" w:id="0">
    <w:p w14:paraId="1272BDEA" w14:textId="77777777" w:rsidR="007569EF" w:rsidRDefault="007569EF"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4834EE" w:rsidRDefault="004834EE" w:rsidP="003C0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97664" w14:textId="77777777" w:rsidR="007569EF" w:rsidRDefault="007569EF" w:rsidP="004834EE">
      <w:pPr>
        <w:spacing w:line="240" w:lineRule="auto"/>
      </w:pPr>
      <w:r>
        <w:separator/>
      </w:r>
    </w:p>
  </w:footnote>
  <w:footnote w:type="continuationSeparator" w:id="0">
    <w:p w14:paraId="56DD3966" w14:textId="77777777" w:rsidR="007569EF" w:rsidRDefault="007569EF"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5191B"/>
    <w:rsid w:val="00075464"/>
    <w:rsid w:val="000A4939"/>
    <w:rsid w:val="000D4FB9"/>
    <w:rsid w:val="000E70FC"/>
    <w:rsid w:val="00152F71"/>
    <w:rsid w:val="0020560E"/>
    <w:rsid w:val="00221008"/>
    <w:rsid w:val="0030141B"/>
    <w:rsid w:val="0035695D"/>
    <w:rsid w:val="0038329C"/>
    <w:rsid w:val="003E1867"/>
    <w:rsid w:val="003E1F78"/>
    <w:rsid w:val="00453DD6"/>
    <w:rsid w:val="00462E8E"/>
    <w:rsid w:val="004715B6"/>
    <w:rsid w:val="004834EE"/>
    <w:rsid w:val="004C0547"/>
    <w:rsid w:val="004C51BA"/>
    <w:rsid w:val="004E1900"/>
    <w:rsid w:val="004F2229"/>
    <w:rsid w:val="005079B9"/>
    <w:rsid w:val="00546820"/>
    <w:rsid w:val="00566342"/>
    <w:rsid w:val="005801D5"/>
    <w:rsid w:val="005D1D65"/>
    <w:rsid w:val="005D6AED"/>
    <w:rsid w:val="005E4439"/>
    <w:rsid w:val="00610DE3"/>
    <w:rsid w:val="0064446E"/>
    <w:rsid w:val="00683629"/>
    <w:rsid w:val="006C53C1"/>
    <w:rsid w:val="006E2C4F"/>
    <w:rsid w:val="00713FD1"/>
    <w:rsid w:val="0071467A"/>
    <w:rsid w:val="007368AC"/>
    <w:rsid w:val="007569EF"/>
    <w:rsid w:val="00756B64"/>
    <w:rsid w:val="007907A7"/>
    <w:rsid w:val="00794EA0"/>
    <w:rsid w:val="007F1FD3"/>
    <w:rsid w:val="00877690"/>
    <w:rsid w:val="00881EA0"/>
    <w:rsid w:val="0088387F"/>
    <w:rsid w:val="008C1D59"/>
    <w:rsid w:val="008D3DA6"/>
    <w:rsid w:val="008E62FA"/>
    <w:rsid w:val="00900BB4"/>
    <w:rsid w:val="00924D8E"/>
    <w:rsid w:val="0094576C"/>
    <w:rsid w:val="0096153D"/>
    <w:rsid w:val="009753BC"/>
    <w:rsid w:val="009D17CB"/>
    <w:rsid w:val="009D3D6B"/>
    <w:rsid w:val="009E3750"/>
    <w:rsid w:val="009F341B"/>
    <w:rsid w:val="00A25950"/>
    <w:rsid w:val="00AC1576"/>
    <w:rsid w:val="00B023DF"/>
    <w:rsid w:val="00B407CC"/>
    <w:rsid w:val="00B41D4E"/>
    <w:rsid w:val="00B46F10"/>
    <w:rsid w:val="00B667CA"/>
    <w:rsid w:val="00B739EE"/>
    <w:rsid w:val="00B85158"/>
    <w:rsid w:val="00BD2EA3"/>
    <w:rsid w:val="00C0601C"/>
    <w:rsid w:val="00C31651"/>
    <w:rsid w:val="00CD45C6"/>
    <w:rsid w:val="00CE0F64"/>
    <w:rsid w:val="00CE23FB"/>
    <w:rsid w:val="00D40585"/>
    <w:rsid w:val="00D46690"/>
    <w:rsid w:val="00D7289D"/>
    <w:rsid w:val="00D97404"/>
    <w:rsid w:val="00DB0ECE"/>
    <w:rsid w:val="00DD27A5"/>
    <w:rsid w:val="00DF1522"/>
    <w:rsid w:val="00E11AC0"/>
    <w:rsid w:val="00E27AF5"/>
    <w:rsid w:val="00E37C60"/>
    <w:rsid w:val="00E4308B"/>
    <w:rsid w:val="00F324D4"/>
    <w:rsid w:val="00F62B82"/>
    <w:rsid w:val="00FB58DF"/>
    <w:rsid w:val="00FC2D93"/>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D4"/>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0D4FB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D4FB9"/>
    <w:pPr>
      <w:spacing w:after="120"/>
    </w:pPr>
  </w:style>
  <w:style w:type="character" w:customStyle="1" w:styleId="BodyTextChar">
    <w:name w:val="Body Text Char"/>
    <w:basedOn w:val="DefaultParagraphFont"/>
    <w:link w:val="BodyText"/>
    <w:uiPriority w:val="99"/>
    <w:semiHidden/>
    <w:rsid w:val="000D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8141">
      <w:bodyDiv w:val="1"/>
      <w:marLeft w:val="0"/>
      <w:marRight w:val="0"/>
      <w:marTop w:val="0"/>
      <w:marBottom w:val="0"/>
      <w:divBdr>
        <w:top w:val="none" w:sz="0" w:space="0" w:color="auto"/>
        <w:left w:val="none" w:sz="0" w:space="0" w:color="auto"/>
        <w:bottom w:val="none" w:sz="0" w:space="0" w:color="auto"/>
        <w:right w:val="none" w:sz="0" w:space="0" w:color="auto"/>
      </w:divBdr>
      <w:divsChild>
        <w:div w:id="710113811">
          <w:marLeft w:val="0"/>
          <w:marRight w:val="0"/>
          <w:marTop w:val="0"/>
          <w:marBottom w:val="0"/>
          <w:divBdr>
            <w:top w:val="none" w:sz="0" w:space="0" w:color="auto"/>
            <w:left w:val="none" w:sz="0" w:space="0" w:color="auto"/>
            <w:bottom w:val="none" w:sz="0" w:space="0" w:color="auto"/>
            <w:right w:val="none" w:sz="0" w:space="0" w:color="auto"/>
          </w:divBdr>
          <w:divsChild>
            <w:div w:id="464155363">
              <w:marLeft w:val="0"/>
              <w:marRight w:val="0"/>
              <w:marTop w:val="0"/>
              <w:marBottom w:val="0"/>
              <w:divBdr>
                <w:top w:val="none" w:sz="0" w:space="0" w:color="auto"/>
                <w:left w:val="none" w:sz="0" w:space="0" w:color="auto"/>
                <w:bottom w:val="none" w:sz="0" w:space="0" w:color="auto"/>
                <w:right w:val="none" w:sz="0" w:space="0" w:color="auto"/>
              </w:divBdr>
              <w:divsChild>
                <w:div w:id="734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011056842">
      <w:bodyDiv w:val="1"/>
      <w:marLeft w:val="0"/>
      <w:marRight w:val="0"/>
      <w:marTop w:val="0"/>
      <w:marBottom w:val="0"/>
      <w:divBdr>
        <w:top w:val="none" w:sz="0" w:space="0" w:color="auto"/>
        <w:left w:val="none" w:sz="0" w:space="0" w:color="auto"/>
        <w:bottom w:val="none" w:sz="0" w:space="0" w:color="auto"/>
        <w:right w:val="none" w:sz="0" w:space="0" w:color="auto"/>
      </w:divBdr>
      <w:divsChild>
        <w:div w:id="988902998">
          <w:marLeft w:val="0"/>
          <w:marRight w:val="0"/>
          <w:marTop w:val="0"/>
          <w:marBottom w:val="0"/>
          <w:divBdr>
            <w:top w:val="none" w:sz="0" w:space="0" w:color="auto"/>
            <w:left w:val="none" w:sz="0" w:space="0" w:color="auto"/>
            <w:bottom w:val="none" w:sz="0" w:space="0" w:color="auto"/>
            <w:right w:val="none" w:sz="0" w:space="0" w:color="auto"/>
          </w:divBdr>
          <w:divsChild>
            <w:div w:id="762071544">
              <w:marLeft w:val="0"/>
              <w:marRight w:val="0"/>
              <w:marTop w:val="0"/>
              <w:marBottom w:val="0"/>
              <w:divBdr>
                <w:top w:val="none" w:sz="0" w:space="0" w:color="auto"/>
                <w:left w:val="none" w:sz="0" w:space="0" w:color="auto"/>
                <w:bottom w:val="none" w:sz="0" w:space="0" w:color="auto"/>
                <w:right w:val="none" w:sz="0" w:space="0" w:color="auto"/>
              </w:divBdr>
              <w:divsChild>
                <w:div w:id="180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sapps.nist.gov/publication/get_pdf.cfm?pub_id=9259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vlpubs.nist.gov/nistpubs/CSWP/NIST.CSWP.01262018.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wnload.microsoft.com/download/a/f/7/af7777e5-7dcd-4800-8a0a-b18336565f5b/best_practices.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1104</Words>
  <Characters>6353</Characters>
  <Application>Microsoft Office Word</Application>
  <DocSecurity>0</DocSecurity>
  <Lines>162</Lines>
  <Paragraphs>126</Paragraphs>
  <ScaleCrop>false</ScaleCrop>
  <HeadingPairs>
    <vt:vector size="2" baseType="variant">
      <vt:variant>
        <vt:lpstr>Title</vt:lpstr>
      </vt:variant>
      <vt:variant>
        <vt:i4>1</vt:i4>
      </vt:variant>
    </vt:vector>
  </HeadingPairs>
  <TitlesOfParts>
    <vt:vector size="1" baseType="lpstr">
      <vt:lpstr>Code Signing</vt:lpstr>
    </vt:vector>
  </TitlesOfParts>
  <Manager/>
  <Company>Motional</Company>
  <LinksUpToDate>false</LinksUpToDate>
  <CharactersWithSpaces>7331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code signing</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12</cp:revision>
  <cp:lastPrinted>2022-02-17T18:49:00Z</cp:lastPrinted>
  <dcterms:created xsi:type="dcterms:W3CDTF">2022-02-17T18:50:00Z</dcterms:created>
  <dcterms:modified xsi:type="dcterms:W3CDTF">2022-05-25T11:54:00Z</dcterms:modified>
  <cp:category/>
</cp:coreProperties>
</file>