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B78BF" w14:textId="35F85883" w:rsidR="003760F0" w:rsidRDefault="00676679" w:rsidP="00676679">
      <w:pPr>
        <w:pStyle w:val="Heading1"/>
        <w:jc w:val="center"/>
        <w:rPr>
          <w:sz w:val="52"/>
          <w:szCs w:val="52"/>
        </w:rPr>
      </w:pPr>
      <w:r w:rsidRPr="00676679">
        <w:rPr>
          <w:sz w:val="52"/>
          <w:szCs w:val="52"/>
        </w:rPr>
        <w:t>Understanding Cybersecurity Risk Freshness in an AVCDL Context</w:t>
      </w:r>
    </w:p>
    <w:p w14:paraId="578FE19B" w14:textId="4874E052" w:rsidR="00075464" w:rsidRDefault="00B46F10" w:rsidP="00075464">
      <w:pPr>
        <w:pStyle w:val="Heading1"/>
      </w:pPr>
      <w:r>
        <w:t>Revision</w:t>
      </w:r>
    </w:p>
    <w:p w14:paraId="06ECF040" w14:textId="1F0B0BB2" w:rsidR="00807590" w:rsidRPr="00807590" w:rsidRDefault="00807590" w:rsidP="00807590">
      <w:r>
        <w:t xml:space="preserve">Version </w:t>
      </w:r>
      <w:r w:rsidR="00AF509F">
        <w:t>4</w:t>
      </w:r>
    </w:p>
    <w:p w14:paraId="45CEE66D" w14:textId="4C9D482A" w:rsidR="00075464" w:rsidRDefault="00075464" w:rsidP="00075464">
      <w:pPr>
        <w:jc w:val="both"/>
      </w:pPr>
      <w:r>
        <w:fldChar w:fldCharType="begin"/>
      </w:r>
      <w:r>
        <w:instrText xml:space="preserve"> DATE \@ "M/d/yy h:mm am/pm" </w:instrText>
      </w:r>
      <w:r>
        <w:fldChar w:fldCharType="separate"/>
      </w:r>
      <w:r w:rsidR="00AF509F">
        <w:rPr>
          <w:noProof/>
        </w:rPr>
        <w:t>3/7/24 2:13 PM</w:t>
      </w:r>
      <w:r>
        <w:fldChar w:fldCharType="end"/>
      </w:r>
    </w:p>
    <w:p w14:paraId="58128635" w14:textId="4E2710AF" w:rsidR="008E62FA" w:rsidRDefault="008E62FA" w:rsidP="008E62FA">
      <w:pPr>
        <w:pStyle w:val="Heading1"/>
      </w:pPr>
      <w:r>
        <w:t>Author</w:t>
      </w:r>
    </w:p>
    <w:p w14:paraId="59B38096" w14:textId="278C88F3" w:rsidR="008E62FA" w:rsidRDefault="008E62FA" w:rsidP="008E62FA">
      <w:pPr>
        <w:jc w:val="both"/>
      </w:pPr>
      <w:r>
        <w:t>Charles Wilson</w:t>
      </w:r>
    </w:p>
    <w:p w14:paraId="00000002" w14:textId="77777777" w:rsidR="00E27AF5" w:rsidRDefault="008C1D59">
      <w:pPr>
        <w:pStyle w:val="Heading1"/>
      </w:pPr>
      <w:r>
        <w:t>Abstract</w:t>
      </w:r>
    </w:p>
    <w:p w14:paraId="00000003" w14:textId="22EBCC57" w:rsidR="00E27AF5" w:rsidRDefault="003760F0">
      <w:pPr>
        <w:jc w:val="both"/>
      </w:pPr>
      <w:r>
        <w:t xml:space="preserve">This document describes how </w:t>
      </w:r>
      <w:r w:rsidR="00857C98">
        <w:t>the freshness of cybersecurity risks is achieved within</w:t>
      </w:r>
      <w:r>
        <w:t xml:space="preserve"> the </w:t>
      </w:r>
      <w:r w:rsidRPr="00851E15">
        <w:rPr>
          <w:b/>
          <w:bCs/>
        </w:rPr>
        <w:t>AVCDL</w:t>
      </w:r>
      <w:r w:rsidR="008C1D59">
        <w:t>.</w:t>
      </w:r>
    </w:p>
    <w:p w14:paraId="05608880" w14:textId="4600A93D" w:rsidR="009A73AC" w:rsidRDefault="009A73AC" w:rsidP="009A73AC">
      <w:pPr>
        <w:pStyle w:val="Heading1"/>
      </w:pPr>
      <w:bookmarkStart w:id="0" w:name="_54bgemmh6zb8" w:colFirst="0" w:colLast="0"/>
      <w:bookmarkStart w:id="1" w:name="_olcs7d4b90ea" w:colFirst="0" w:colLast="0"/>
      <w:bookmarkStart w:id="2" w:name="_f5diy2ktdyyf" w:colFirst="0" w:colLast="0"/>
      <w:bookmarkStart w:id="3" w:name="_ka2wojif16d2" w:colFirst="0" w:colLast="0"/>
      <w:bookmarkEnd w:id="0"/>
      <w:bookmarkEnd w:id="1"/>
      <w:bookmarkEnd w:id="2"/>
      <w:bookmarkEnd w:id="3"/>
      <w:r>
        <w:t>Audience</w:t>
      </w:r>
    </w:p>
    <w:p w14:paraId="63615BE2" w14:textId="2BCC17C5" w:rsidR="009A73AC" w:rsidRDefault="009A73AC" w:rsidP="00470DF3">
      <w:pPr>
        <w:spacing w:after="240"/>
        <w:jc w:val="both"/>
      </w:pPr>
      <w:r>
        <w:t xml:space="preserve">The audience of this document are the cybersecurity development lifecycle practice leads who will be guiding </w:t>
      </w:r>
      <w:r w:rsidRPr="003B1797">
        <w:rPr>
          <w:b/>
          <w:bCs/>
        </w:rPr>
        <w:t>AVCDL</w:t>
      </w:r>
      <w:r>
        <w:t xml:space="preserve"> adoption within their organization.</w:t>
      </w:r>
    </w:p>
    <w:p w14:paraId="02DCA0E3" w14:textId="02940A34" w:rsidR="00DD5A2E" w:rsidRDefault="00DD5A2E" w:rsidP="00DD5A2E">
      <w:pPr>
        <w:ind w:left="720" w:hanging="720"/>
        <w:jc w:val="both"/>
      </w:pPr>
      <w:r w:rsidRPr="009A73AC">
        <w:rPr>
          <w:b/>
          <w:bCs/>
          <w:color w:val="0070C0"/>
        </w:rPr>
        <w:t>Note:</w:t>
      </w:r>
      <w:r>
        <w:tab/>
        <w:t xml:space="preserve">This document </w:t>
      </w:r>
      <w:r w:rsidR="003C7C53">
        <w:t>is not subject to certification body review</w:t>
      </w:r>
      <w:r>
        <w:t>.</w:t>
      </w:r>
    </w:p>
    <w:p w14:paraId="6E7B7A50" w14:textId="77777777" w:rsidR="00807590" w:rsidRDefault="00807590" w:rsidP="00807590">
      <w:pPr>
        <w:pStyle w:val="Heading1"/>
        <w:jc w:val="both"/>
      </w:pPr>
      <w:r>
        <w:t>License</w:t>
      </w:r>
    </w:p>
    <w:p w14:paraId="12103DCF" w14:textId="514D3B2E" w:rsidR="00807590" w:rsidRDefault="00807590" w:rsidP="00807590">
      <w:pPr>
        <w:jc w:val="both"/>
      </w:pPr>
      <w:r w:rsidRPr="00144DE6">
        <w:rPr>
          <w:lang w:val="en-US"/>
        </w:rPr>
        <w:t xml:space="preserve">This work </w:t>
      </w:r>
      <w:r>
        <w:rPr>
          <w:lang w:val="en-US"/>
        </w:rPr>
        <w:t xml:space="preserve">was created by </w:t>
      </w:r>
      <w:r w:rsidRPr="00321B1A">
        <w:rPr>
          <w:b/>
          <w:bCs/>
          <w:lang w:val="en-US"/>
        </w:rPr>
        <w:t>Motional</w:t>
      </w:r>
      <w:r>
        <w:rPr>
          <w:lang w:val="en-US"/>
        </w:rPr>
        <w:t xml:space="preserve"> and </w:t>
      </w:r>
      <w:r w:rsidRPr="00144DE6">
        <w:rPr>
          <w:lang w:val="en-US"/>
        </w:rPr>
        <w:t xml:space="preserve">is licensed under the </w:t>
      </w:r>
      <w:r w:rsidRPr="00144DE6">
        <w:rPr>
          <w:b/>
          <w:bCs/>
          <w:lang w:val="en-US"/>
        </w:rPr>
        <w:t>Creative Commons Attribution-Share Alike (CC</w:t>
      </w:r>
      <w:r w:rsidR="00240F3B">
        <w:rPr>
          <w:b/>
          <w:bCs/>
          <w:lang w:val="en-US"/>
        </w:rPr>
        <w:t xml:space="preserve"> BY</w:t>
      </w:r>
      <w:r w:rsidRPr="00144DE6">
        <w:rPr>
          <w:b/>
          <w:bCs/>
          <w:lang w:val="en-US"/>
        </w:rPr>
        <w:t>-SA</w:t>
      </w:r>
      <w:r w:rsidR="00240F3B">
        <w:rPr>
          <w:b/>
          <w:bCs/>
          <w:lang w:val="en-US"/>
        </w:rPr>
        <w:t>-4.0</w:t>
      </w:r>
      <w:r w:rsidRPr="00144DE6">
        <w:rPr>
          <w:b/>
          <w:bCs/>
          <w:lang w:val="en-US"/>
        </w:rPr>
        <w:t>)</w:t>
      </w:r>
      <w:r w:rsidRPr="00144DE6">
        <w:rPr>
          <w:lang w:val="en-US"/>
        </w:rPr>
        <w:t xml:space="preserve"> License</w:t>
      </w:r>
      <w:r w:rsidRPr="00533832">
        <w:t>.</w:t>
      </w:r>
    </w:p>
    <w:p w14:paraId="141FF3A9" w14:textId="77777777" w:rsidR="00807590" w:rsidRDefault="00000000" w:rsidP="00807590">
      <w:pPr>
        <w:pStyle w:val="FirstParagraph"/>
        <w:jc w:val="both"/>
      </w:pPr>
      <w:hyperlink r:id="rId8" w:history="1">
        <w:r w:rsidR="00807590" w:rsidRPr="00FE6B19">
          <w:rPr>
            <w:rStyle w:val="Hyperlink"/>
            <w:rFonts w:ascii="Courier New" w:hAnsi="Courier New" w:cs="Courier New"/>
            <w:b/>
            <w:bCs/>
          </w:rPr>
          <w:t>https://creativecommons.org/licenses/by/4.0/legalcode</w:t>
        </w:r>
      </w:hyperlink>
    </w:p>
    <w:p w14:paraId="174317E8" w14:textId="77777777" w:rsidR="009D17CB" w:rsidRDefault="009D17CB">
      <w:pPr>
        <w:rPr>
          <w:sz w:val="40"/>
          <w:szCs w:val="40"/>
        </w:rPr>
      </w:pPr>
      <w:r>
        <w:br w:type="page"/>
      </w:r>
    </w:p>
    <w:p w14:paraId="2922222F" w14:textId="77777777" w:rsidR="00007B2C" w:rsidRDefault="00007B2C" w:rsidP="00007B2C">
      <w:pPr>
        <w:pStyle w:val="Heading1"/>
      </w:pPr>
      <w:r>
        <w:lastRenderedPageBreak/>
        <w:t>Overview</w:t>
      </w:r>
    </w:p>
    <w:p w14:paraId="2EAD1CB1" w14:textId="79E63AAC" w:rsidR="00470DF3" w:rsidRDefault="007C4F9E" w:rsidP="003B1797">
      <w:pPr>
        <w:spacing w:after="240"/>
        <w:jc w:val="both"/>
      </w:pPr>
      <w:r>
        <w:t>Although t</w:t>
      </w:r>
      <w:r w:rsidR="001B07A4">
        <w:t xml:space="preserve">he </w:t>
      </w:r>
      <w:r w:rsidR="001B07A4" w:rsidRPr="001B07A4">
        <w:rPr>
          <w:b/>
          <w:bCs/>
        </w:rPr>
        <w:t>AVCDL</w:t>
      </w:r>
      <w:r w:rsidR="001B07A4">
        <w:t xml:space="preserve"> </w:t>
      </w:r>
      <w:r w:rsidR="001B07A4" w:rsidRPr="001B07A4">
        <w:rPr>
          <w:b/>
          <w:bCs/>
          <w:color w:val="0070C0"/>
          <w:vertAlign w:val="superscript"/>
        </w:rPr>
        <w:t>[1]</w:t>
      </w:r>
      <w:r w:rsidR="001B07A4">
        <w:t xml:space="preserve"> does not specifically discuss </w:t>
      </w:r>
      <w:r w:rsidR="005C2CF7">
        <w:t>the topic of cybersecurity risk freshness</w:t>
      </w:r>
      <w:r w:rsidR="00F06CF5">
        <w:t xml:space="preserve"> </w:t>
      </w:r>
      <w:r>
        <w:t>i</w:t>
      </w:r>
      <w:r w:rsidR="00F06CF5">
        <w:t xml:space="preserve">t was designed with the intent that the processes and recommendations for the embodiment of machine readable information be used in such a way as to ensure that information is available and current to all processes requiring it. This document will show how the processes of the AVCDL enable effective and efficient mechanisms for </w:t>
      </w:r>
      <w:r w:rsidR="0067035E">
        <w:t>ensuring cybersecurity risk freshness.</w:t>
      </w:r>
    </w:p>
    <w:p w14:paraId="2D4747ED" w14:textId="139EF918" w:rsidR="00B60F7D" w:rsidRDefault="00494B9F" w:rsidP="00B60F7D">
      <w:pPr>
        <w:pStyle w:val="Heading1"/>
      </w:pPr>
      <w:r>
        <w:t>Freshness Motivation</w:t>
      </w:r>
    </w:p>
    <w:p w14:paraId="229F190E" w14:textId="2FCD4FC6" w:rsidR="00B60F7D" w:rsidRDefault="00494B9F" w:rsidP="00B60F7D">
      <w:pPr>
        <w:spacing w:after="240"/>
        <w:jc w:val="both"/>
      </w:pPr>
      <w:r>
        <w:t>Cybersecurity risk freshness is motivated by the need to ensure that the overall system cybersecurity risk is both properly characterized and also minimized.</w:t>
      </w:r>
      <w:r w:rsidR="00636EE1">
        <w:t xml:space="preserve"> Cybersecurity risk freshness itself is a measure of</w:t>
      </w:r>
      <w:r w:rsidR="006A35A0">
        <w:t xml:space="preserve"> the delta between</w:t>
      </w:r>
      <w:r w:rsidR="00636EE1">
        <w:t xml:space="preserve"> the last assessed state of the product (or element thereof) and the current state with respect to cybersecurity risk. The fundamental basis for assessing the cybersecurity risk is the application of the threat prioritization process</w:t>
      </w:r>
      <w:r w:rsidR="006A35A0">
        <w:t xml:space="preserve"> document in the </w:t>
      </w:r>
      <w:r w:rsidR="006A35A0" w:rsidRPr="006A35A0">
        <w:rPr>
          <w:b/>
          <w:bCs/>
        </w:rPr>
        <w:t xml:space="preserve">Threat Prioritization Plan </w:t>
      </w:r>
      <w:r w:rsidR="006A35A0" w:rsidRPr="006A35A0">
        <w:rPr>
          <w:b/>
          <w:bCs/>
          <w:color w:val="0070C0"/>
          <w:vertAlign w:val="superscript"/>
        </w:rPr>
        <w:t>[2]</w:t>
      </w:r>
      <w:r w:rsidR="006A35A0">
        <w:t xml:space="preserve">. Ideally there </w:t>
      </w:r>
      <w:r w:rsidR="008770D0">
        <w:t>would</w:t>
      </w:r>
      <w:r w:rsidR="006A35A0">
        <w:t xml:space="preserve"> be near zero difference between the last assessed and current states.</w:t>
      </w:r>
    </w:p>
    <w:p w14:paraId="43FE3276" w14:textId="398C2B45" w:rsidR="00206788" w:rsidRDefault="00710780" w:rsidP="00206788">
      <w:pPr>
        <w:pStyle w:val="Heading1"/>
      </w:pPr>
      <w:bookmarkStart w:id="4" w:name="_Open_Source_Inclusion"/>
      <w:bookmarkEnd w:id="4"/>
      <w:r>
        <w:t>Feedforward</w:t>
      </w:r>
    </w:p>
    <w:p w14:paraId="7F3071FC" w14:textId="5E1EDCED" w:rsidR="00206788" w:rsidRDefault="00710780" w:rsidP="00206788">
      <w:pPr>
        <w:spacing w:after="240"/>
        <w:jc w:val="both"/>
      </w:pPr>
      <w:r>
        <w:t xml:space="preserve">The </w:t>
      </w:r>
      <w:r w:rsidRPr="003E242C">
        <w:rPr>
          <w:b/>
          <w:bCs/>
        </w:rPr>
        <w:t>AVCDL</w:t>
      </w:r>
      <w:r>
        <w:t xml:space="preserve"> provides a visualization of the feedforward nature of the phase product dependencies (shown below)</w:t>
      </w:r>
      <w:r w:rsidR="005C5920">
        <w:t>.</w:t>
      </w:r>
    </w:p>
    <w:p w14:paraId="064B65E1" w14:textId="77777777" w:rsidR="003C37B0" w:rsidRDefault="00206788" w:rsidP="00F13E10">
      <w:pPr>
        <w:spacing w:after="240"/>
        <w:jc w:val="center"/>
      </w:pPr>
      <w:r>
        <w:rPr>
          <w:noProof/>
        </w:rPr>
        <w:drawing>
          <wp:inline distT="0" distB="0" distL="0" distR="0" wp14:anchorId="19C0CFF9" wp14:editId="2DB9571C">
            <wp:extent cx="5984050" cy="1533912"/>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84050" cy="1533912"/>
                    </a:xfrm>
                    <a:prstGeom prst="rect">
                      <a:avLst/>
                    </a:prstGeom>
                  </pic:spPr>
                </pic:pic>
              </a:graphicData>
            </a:graphic>
          </wp:inline>
        </w:drawing>
      </w:r>
    </w:p>
    <w:p w14:paraId="37C1D628" w14:textId="066776A1" w:rsidR="00D729F4" w:rsidRDefault="00D729F4" w:rsidP="00D729F4">
      <w:pPr>
        <w:spacing w:after="240"/>
        <w:ind w:left="720" w:hanging="720"/>
        <w:jc w:val="both"/>
      </w:pPr>
      <w:r w:rsidRPr="00D729F4">
        <w:rPr>
          <w:b/>
          <w:bCs/>
          <w:color w:val="0070C0"/>
        </w:rPr>
        <w:t>Note:</w:t>
      </w:r>
      <w:r>
        <w:tab/>
      </w:r>
      <w:r w:rsidR="00710780">
        <w:t>This information is shown by phase in the</w:t>
      </w:r>
      <w:r w:rsidR="005C5920">
        <w:t xml:space="preserve"> </w:t>
      </w:r>
      <w:r w:rsidR="005C5920" w:rsidRPr="005C5920">
        <w:rPr>
          <w:b/>
          <w:bCs/>
        </w:rPr>
        <w:t>AVCDL</w:t>
      </w:r>
      <w:r>
        <w:t xml:space="preserve"> </w:t>
      </w:r>
      <w:r w:rsidR="00710780">
        <w:t>primary</w:t>
      </w:r>
      <w:r w:rsidR="005C5920">
        <w:t xml:space="preserve"> document</w:t>
      </w:r>
      <w:r w:rsidR="00710780">
        <w:t xml:space="preserve"> section 18 – </w:t>
      </w:r>
      <w:r w:rsidR="00710780" w:rsidRPr="00710780">
        <w:rPr>
          <w:b/>
          <w:bCs/>
        </w:rPr>
        <w:t>AVCDL Product Dependencies</w:t>
      </w:r>
      <w:r>
        <w:t>.</w:t>
      </w:r>
    </w:p>
    <w:p w14:paraId="56A14693" w14:textId="3812563E" w:rsidR="008770D0" w:rsidRDefault="008770D0" w:rsidP="008770D0">
      <w:pPr>
        <w:spacing w:after="240"/>
        <w:ind w:left="720" w:hanging="720"/>
        <w:jc w:val="both"/>
      </w:pPr>
      <w:r w:rsidRPr="00D729F4">
        <w:rPr>
          <w:b/>
          <w:bCs/>
          <w:color w:val="0070C0"/>
        </w:rPr>
        <w:t>Note:</w:t>
      </w:r>
      <w:r>
        <w:tab/>
        <w:t>S</w:t>
      </w:r>
      <w:r w:rsidRPr="008770D0">
        <w:t>ymbology</w:t>
      </w:r>
      <w:r>
        <w:t xml:space="preserve"> for this diagram is described in the AVCDL elaboration document, </w:t>
      </w:r>
      <w:r w:rsidRPr="008770D0">
        <w:rPr>
          <w:b/>
          <w:bCs/>
        </w:rPr>
        <w:t>Understanding Workflow Graphs</w:t>
      </w:r>
      <w:r>
        <w:rPr>
          <w:b/>
          <w:bCs/>
        </w:rPr>
        <w:t xml:space="preserve"> </w:t>
      </w:r>
      <w:r w:rsidRPr="008770D0">
        <w:rPr>
          <w:b/>
          <w:bCs/>
          <w:color w:val="0070C0"/>
          <w:vertAlign w:val="superscript"/>
        </w:rPr>
        <w:t>[3]</w:t>
      </w:r>
      <w:r>
        <w:t>.</w:t>
      </w:r>
    </w:p>
    <w:p w14:paraId="0833DDD6" w14:textId="3BB271C0" w:rsidR="005C5920" w:rsidRDefault="009B577E" w:rsidP="009B577E">
      <w:pPr>
        <w:jc w:val="both"/>
        <w:rPr>
          <w:sz w:val="40"/>
          <w:szCs w:val="40"/>
        </w:rPr>
      </w:pPr>
      <w:r>
        <w:t>This diagram is useful in establishing traceability of documentation but is not sufficient to demonstrate how freshness is maintained, even for the forward case.</w:t>
      </w:r>
      <w:r w:rsidR="005C5920">
        <w:br w:type="page"/>
      </w:r>
    </w:p>
    <w:p w14:paraId="11CFD454" w14:textId="19F1C296" w:rsidR="003E242C" w:rsidRDefault="003E242C" w:rsidP="003E242C">
      <w:pPr>
        <w:pStyle w:val="Heading1"/>
      </w:pPr>
      <w:r>
        <w:lastRenderedPageBreak/>
        <w:t>Global View</w:t>
      </w:r>
    </w:p>
    <w:p w14:paraId="6D114526" w14:textId="4901D9EF" w:rsidR="003E242C" w:rsidRDefault="003E242C" w:rsidP="003E242C">
      <w:pPr>
        <w:spacing w:after="240"/>
        <w:jc w:val="both"/>
      </w:pPr>
      <w:r>
        <w:t xml:space="preserve">The following shows the global feedforward / feedback enabled by the </w:t>
      </w:r>
      <w:r w:rsidRPr="003E242C">
        <w:rPr>
          <w:b/>
          <w:bCs/>
        </w:rPr>
        <w:t>AVCDL</w:t>
      </w:r>
      <w:r>
        <w:t>.</w:t>
      </w:r>
    </w:p>
    <w:p w14:paraId="671272B3" w14:textId="41606AC5" w:rsidR="00157EC2" w:rsidRDefault="00157EC2" w:rsidP="00157EC2">
      <w:pPr>
        <w:spacing w:after="240"/>
        <w:ind w:left="720" w:hanging="720"/>
        <w:jc w:val="both"/>
      </w:pPr>
      <w:r w:rsidRPr="00D729F4">
        <w:rPr>
          <w:b/>
          <w:bCs/>
          <w:color w:val="0070C0"/>
        </w:rPr>
        <w:t>Note:</w:t>
      </w:r>
      <w:r>
        <w:tab/>
        <w:t xml:space="preserve">Diagram </w:t>
      </w:r>
      <w:hyperlink w:anchor="_Symbology" w:history="1">
        <w:r w:rsidRPr="00824990">
          <w:rPr>
            <w:rStyle w:val="Hyperlink"/>
          </w:rPr>
          <w:t>symbology</w:t>
        </w:r>
      </w:hyperlink>
      <w:r>
        <w:t xml:space="preserve"> </w:t>
      </w:r>
      <w:r w:rsidR="00824990">
        <w:t>is described in the following section</w:t>
      </w:r>
      <w:r>
        <w:t>.</w:t>
      </w:r>
      <w:r w:rsidR="00824990">
        <w:t xml:space="preserve"> This symbology differs from that used in the preceding diagram.</w:t>
      </w:r>
    </w:p>
    <w:p w14:paraId="4A96AA35" w14:textId="77777777" w:rsidR="003E242C" w:rsidRDefault="003E242C" w:rsidP="003E242C">
      <w:pPr>
        <w:spacing w:after="240"/>
        <w:jc w:val="center"/>
      </w:pPr>
      <w:r>
        <w:rPr>
          <w:noProof/>
        </w:rPr>
        <w:drawing>
          <wp:inline distT="0" distB="0" distL="0" distR="0" wp14:anchorId="2272E787" wp14:editId="39277975">
            <wp:extent cx="5984050" cy="127509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84050" cy="1275099"/>
                    </a:xfrm>
                    <a:prstGeom prst="rect">
                      <a:avLst/>
                    </a:prstGeom>
                  </pic:spPr>
                </pic:pic>
              </a:graphicData>
            </a:graphic>
          </wp:inline>
        </w:drawing>
      </w:r>
    </w:p>
    <w:p w14:paraId="110C8035" w14:textId="6F2E1F8C" w:rsidR="003E242C" w:rsidRDefault="003E242C" w:rsidP="003E242C">
      <w:pPr>
        <w:spacing w:after="240"/>
        <w:ind w:left="720" w:hanging="720"/>
        <w:jc w:val="both"/>
      </w:pPr>
      <w:r w:rsidRPr="00D729F4">
        <w:rPr>
          <w:b/>
          <w:bCs/>
          <w:color w:val="0070C0"/>
        </w:rPr>
        <w:t>Note:</w:t>
      </w:r>
      <w:r>
        <w:tab/>
        <w:t>Only items relevant to feedforward / feedback are shown.</w:t>
      </w:r>
    </w:p>
    <w:p w14:paraId="7821231E" w14:textId="77777777" w:rsidR="00CA7DD7" w:rsidRDefault="003E242C" w:rsidP="005344B5">
      <w:pPr>
        <w:spacing w:after="240"/>
        <w:jc w:val="both"/>
      </w:pPr>
      <w:r>
        <w:t xml:space="preserve">The remainder of the document will examine the enabled feedback as the product progresses through the </w:t>
      </w:r>
      <w:r w:rsidRPr="003E242C">
        <w:rPr>
          <w:b/>
          <w:bCs/>
        </w:rPr>
        <w:t>AVCDL</w:t>
      </w:r>
      <w:r>
        <w:t xml:space="preserve"> processes.</w:t>
      </w:r>
    </w:p>
    <w:p w14:paraId="3012E478" w14:textId="77777777" w:rsidR="006C7713" w:rsidRDefault="00CA7DD7" w:rsidP="00CA7DD7">
      <w:pPr>
        <w:spacing w:after="240"/>
        <w:ind w:left="720" w:hanging="720"/>
        <w:jc w:val="both"/>
      </w:pPr>
      <w:r w:rsidRPr="00D729F4">
        <w:rPr>
          <w:b/>
          <w:bCs/>
          <w:color w:val="0070C0"/>
        </w:rPr>
        <w:t>Note:</w:t>
      </w:r>
      <w:r>
        <w:tab/>
        <w:t>For the purpose of this document, a new product is presumed. In the case of product revisions, it is presumed that learnings from earlier revisions of the product are integrated into the base information.</w:t>
      </w:r>
    </w:p>
    <w:p w14:paraId="721E5C82" w14:textId="5E8F27FD" w:rsidR="003E242C" w:rsidRPr="00CA7DD7" w:rsidRDefault="006C7713" w:rsidP="006C7713">
      <w:pPr>
        <w:spacing w:after="240"/>
        <w:ind w:left="720" w:hanging="720"/>
        <w:jc w:val="both"/>
      </w:pPr>
      <w:r w:rsidRPr="00D729F4">
        <w:rPr>
          <w:b/>
          <w:bCs/>
          <w:color w:val="0070C0"/>
        </w:rPr>
        <w:t>Note:</w:t>
      </w:r>
      <w:r>
        <w:tab/>
        <w:t xml:space="preserve">In order to focus on feedback aspects, the details of the </w:t>
      </w:r>
      <w:r w:rsidRPr="005344B5">
        <w:rPr>
          <w:b/>
          <w:bCs/>
        </w:rPr>
        <w:t>AVCDL</w:t>
      </w:r>
      <w:r>
        <w:t xml:space="preserve"> processes have been greatly simplified. References to the </w:t>
      </w:r>
      <w:r w:rsidR="005344B5">
        <w:t>relevant</w:t>
      </w:r>
      <w:r>
        <w:t xml:space="preserve"> </w:t>
      </w:r>
      <w:r w:rsidRPr="005344B5">
        <w:rPr>
          <w:b/>
          <w:bCs/>
        </w:rPr>
        <w:t>AVCDL</w:t>
      </w:r>
      <w:r>
        <w:t xml:space="preserve"> secondary documents are included in the discussion.</w:t>
      </w:r>
      <w:r w:rsidR="003E242C">
        <w:br w:type="page"/>
      </w:r>
    </w:p>
    <w:p w14:paraId="1E56D6D1" w14:textId="02E32E80" w:rsidR="004868FA" w:rsidRDefault="004868FA" w:rsidP="004868FA">
      <w:pPr>
        <w:pStyle w:val="Heading1"/>
      </w:pPr>
      <w:bookmarkStart w:id="5" w:name="_Symbology"/>
      <w:bookmarkEnd w:id="5"/>
      <w:r>
        <w:lastRenderedPageBreak/>
        <w:t>Symbology</w:t>
      </w:r>
    </w:p>
    <w:p w14:paraId="0849392C" w14:textId="78F94DC6" w:rsidR="004868FA" w:rsidRDefault="004868FA" w:rsidP="004868FA">
      <w:pPr>
        <w:spacing w:after="240"/>
      </w:pPr>
      <w:r>
        <w:t xml:space="preserve">The </w:t>
      </w:r>
      <w:r w:rsidR="00F42639">
        <w:t xml:space="preserve">following table covers the symbology used in this </w:t>
      </w:r>
      <w:r w:rsidR="00157EC2">
        <w:t>document’s</w:t>
      </w:r>
      <w:r w:rsidR="00F42639">
        <w:t xml:space="preserve"> diagrams</w:t>
      </w:r>
      <w:r>
        <w:t>.</w:t>
      </w:r>
    </w:p>
    <w:tbl>
      <w:tblPr>
        <w:tblStyle w:val="TableGrid"/>
        <w:tblW w:w="0" w:type="auto"/>
        <w:tblLook w:val="04A0" w:firstRow="1" w:lastRow="0" w:firstColumn="1" w:lastColumn="0" w:noHBand="0" w:noVBand="1"/>
      </w:tblPr>
      <w:tblGrid>
        <w:gridCol w:w="1876"/>
        <w:gridCol w:w="7474"/>
      </w:tblGrid>
      <w:tr w:rsidR="00157EC2" w14:paraId="6F3A69DB" w14:textId="77777777" w:rsidTr="00F42639">
        <w:tc>
          <w:tcPr>
            <w:tcW w:w="1795" w:type="dxa"/>
            <w:shd w:val="clear" w:color="auto" w:fill="DBE5F1" w:themeFill="accent1" w:themeFillTint="33"/>
          </w:tcPr>
          <w:p w14:paraId="5D1227F5" w14:textId="62BC9624" w:rsidR="00F42639" w:rsidRPr="00F42639" w:rsidRDefault="00F42639" w:rsidP="00157EC2">
            <w:pPr>
              <w:spacing w:before="40" w:after="40"/>
              <w:jc w:val="center"/>
              <w:rPr>
                <w:b/>
                <w:bCs/>
              </w:rPr>
            </w:pPr>
            <w:r w:rsidRPr="00F42639">
              <w:rPr>
                <w:b/>
                <w:bCs/>
              </w:rPr>
              <w:t>Symbol</w:t>
            </w:r>
          </w:p>
        </w:tc>
        <w:tc>
          <w:tcPr>
            <w:tcW w:w="7555" w:type="dxa"/>
            <w:shd w:val="clear" w:color="auto" w:fill="DBE5F1" w:themeFill="accent1" w:themeFillTint="33"/>
          </w:tcPr>
          <w:p w14:paraId="1C93DAB7" w14:textId="639AE262" w:rsidR="00F42639" w:rsidRPr="00F42639" w:rsidRDefault="00F42639" w:rsidP="00157EC2">
            <w:pPr>
              <w:spacing w:before="40" w:after="40"/>
              <w:rPr>
                <w:b/>
                <w:bCs/>
              </w:rPr>
            </w:pPr>
            <w:r w:rsidRPr="00F42639">
              <w:rPr>
                <w:b/>
                <w:bCs/>
              </w:rPr>
              <w:t>Description</w:t>
            </w:r>
          </w:p>
        </w:tc>
      </w:tr>
      <w:tr w:rsidR="00157EC2" w14:paraId="37620DF0" w14:textId="77777777" w:rsidTr="00416C66">
        <w:tc>
          <w:tcPr>
            <w:tcW w:w="1795" w:type="dxa"/>
          </w:tcPr>
          <w:p w14:paraId="2EFBEC6C" w14:textId="00F45B33" w:rsidR="00F42639" w:rsidRDefault="00F42639" w:rsidP="00157EC2">
            <w:pPr>
              <w:spacing w:before="40" w:after="40"/>
              <w:jc w:val="center"/>
            </w:pPr>
            <w:r>
              <w:rPr>
                <w:noProof/>
              </w:rPr>
              <w:drawing>
                <wp:inline distT="0" distB="0" distL="0" distR="0" wp14:anchorId="395B6FB2" wp14:editId="7D1B72CA">
                  <wp:extent cx="564204" cy="703514"/>
                  <wp:effectExtent l="0" t="0" r="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0993" cy="736918"/>
                          </a:xfrm>
                          <a:prstGeom prst="rect">
                            <a:avLst/>
                          </a:prstGeom>
                        </pic:spPr>
                      </pic:pic>
                    </a:graphicData>
                  </a:graphic>
                </wp:inline>
              </w:drawing>
            </w:r>
          </w:p>
        </w:tc>
        <w:tc>
          <w:tcPr>
            <w:tcW w:w="7555" w:type="dxa"/>
            <w:vAlign w:val="center"/>
          </w:tcPr>
          <w:p w14:paraId="11A9BA70" w14:textId="1D827B05" w:rsidR="00F42639" w:rsidRDefault="00416C66" w:rsidP="00416C66">
            <w:pPr>
              <w:spacing w:before="40" w:after="40"/>
            </w:pPr>
            <w:r>
              <w:t>Cybersecurity artifact</w:t>
            </w:r>
          </w:p>
        </w:tc>
      </w:tr>
      <w:tr w:rsidR="00157EC2" w14:paraId="20E161D0" w14:textId="77777777" w:rsidTr="00416C66">
        <w:tc>
          <w:tcPr>
            <w:tcW w:w="1795" w:type="dxa"/>
          </w:tcPr>
          <w:p w14:paraId="47BD9351" w14:textId="508CFE29" w:rsidR="00F42639" w:rsidRDefault="00157EC2" w:rsidP="00157EC2">
            <w:pPr>
              <w:spacing w:before="40" w:after="40"/>
              <w:jc w:val="center"/>
            </w:pPr>
            <w:r>
              <w:rPr>
                <w:noProof/>
              </w:rPr>
              <w:drawing>
                <wp:inline distT="0" distB="0" distL="0" distR="0" wp14:anchorId="4BFF5B23" wp14:editId="2B2EB793">
                  <wp:extent cx="553899" cy="690664"/>
                  <wp:effectExtent l="0" t="0" r="5080" b="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047" cy="714540"/>
                          </a:xfrm>
                          <a:prstGeom prst="rect">
                            <a:avLst/>
                          </a:prstGeom>
                        </pic:spPr>
                      </pic:pic>
                    </a:graphicData>
                  </a:graphic>
                </wp:inline>
              </w:drawing>
            </w:r>
          </w:p>
        </w:tc>
        <w:tc>
          <w:tcPr>
            <w:tcW w:w="7555" w:type="dxa"/>
            <w:vAlign w:val="center"/>
          </w:tcPr>
          <w:p w14:paraId="4EC9702E" w14:textId="27694844" w:rsidR="00F42639" w:rsidRDefault="00416C66" w:rsidP="00416C66">
            <w:pPr>
              <w:spacing w:before="40" w:after="40"/>
            </w:pPr>
            <w:r>
              <w:t>Non-cybersecurity artifact</w:t>
            </w:r>
          </w:p>
        </w:tc>
      </w:tr>
      <w:tr w:rsidR="00157EC2" w14:paraId="227C49E3" w14:textId="77777777" w:rsidTr="00416C66">
        <w:tc>
          <w:tcPr>
            <w:tcW w:w="1795" w:type="dxa"/>
          </w:tcPr>
          <w:p w14:paraId="01723EE2" w14:textId="0FC8A107" w:rsidR="00F42639" w:rsidRDefault="00157EC2" w:rsidP="00157EC2">
            <w:pPr>
              <w:spacing w:before="40" w:after="40"/>
              <w:jc w:val="center"/>
            </w:pPr>
            <w:r>
              <w:rPr>
                <w:noProof/>
              </w:rPr>
              <w:drawing>
                <wp:inline distT="0" distB="0" distL="0" distR="0" wp14:anchorId="1ED6548C" wp14:editId="459553B7">
                  <wp:extent cx="1049830" cy="529253"/>
                  <wp:effectExtent l="0" t="0" r="4445" b="4445"/>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076036" cy="542464"/>
                          </a:xfrm>
                          <a:prstGeom prst="rect">
                            <a:avLst/>
                          </a:prstGeom>
                        </pic:spPr>
                      </pic:pic>
                    </a:graphicData>
                  </a:graphic>
                </wp:inline>
              </w:drawing>
            </w:r>
          </w:p>
        </w:tc>
        <w:tc>
          <w:tcPr>
            <w:tcW w:w="7555" w:type="dxa"/>
            <w:vAlign w:val="center"/>
          </w:tcPr>
          <w:p w14:paraId="16E3212C" w14:textId="1B2FCF4F" w:rsidR="00F42639" w:rsidRDefault="00975D62" w:rsidP="00416C66">
            <w:pPr>
              <w:spacing w:before="40" w:after="40"/>
            </w:pPr>
            <w:r>
              <w:t>Phase activity</w:t>
            </w:r>
          </w:p>
        </w:tc>
      </w:tr>
      <w:tr w:rsidR="00157EC2" w14:paraId="3A5B47FA" w14:textId="77777777" w:rsidTr="00416C66">
        <w:tc>
          <w:tcPr>
            <w:tcW w:w="1795" w:type="dxa"/>
          </w:tcPr>
          <w:p w14:paraId="152B5196" w14:textId="417E2AA2" w:rsidR="00F42639" w:rsidRDefault="00157EC2" w:rsidP="00157EC2">
            <w:pPr>
              <w:spacing w:before="40" w:after="40"/>
              <w:jc w:val="center"/>
            </w:pPr>
            <w:r>
              <w:rPr>
                <w:noProof/>
              </w:rPr>
              <w:drawing>
                <wp:inline distT="0" distB="0" distL="0" distR="0" wp14:anchorId="20365BF3" wp14:editId="3B9390B0">
                  <wp:extent cx="846306" cy="617575"/>
                  <wp:effectExtent l="0" t="0" r="5080" b="5080"/>
                  <wp:docPr id="19" name="Picture 19"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877490" cy="640331"/>
                          </a:xfrm>
                          <a:prstGeom prst="rect">
                            <a:avLst/>
                          </a:prstGeom>
                        </pic:spPr>
                      </pic:pic>
                    </a:graphicData>
                  </a:graphic>
                </wp:inline>
              </w:drawing>
            </w:r>
          </w:p>
        </w:tc>
        <w:tc>
          <w:tcPr>
            <w:tcW w:w="7555" w:type="dxa"/>
            <w:vAlign w:val="center"/>
          </w:tcPr>
          <w:p w14:paraId="39E5A798" w14:textId="4A15844A" w:rsidR="00F42639" w:rsidRDefault="00416C66" w:rsidP="00416C66">
            <w:pPr>
              <w:spacing w:before="40" w:after="40"/>
            </w:pPr>
            <w:r>
              <w:t>Phase gate</w:t>
            </w:r>
          </w:p>
        </w:tc>
      </w:tr>
      <w:tr w:rsidR="00157EC2" w14:paraId="1BC69C5C" w14:textId="77777777" w:rsidTr="00416C66">
        <w:tc>
          <w:tcPr>
            <w:tcW w:w="1795" w:type="dxa"/>
          </w:tcPr>
          <w:p w14:paraId="43AB8EE0" w14:textId="0AFC5CCE" w:rsidR="00157EC2" w:rsidRDefault="00157EC2" w:rsidP="00157EC2">
            <w:pPr>
              <w:spacing w:before="40" w:after="40"/>
              <w:jc w:val="center"/>
              <w:rPr>
                <w:noProof/>
              </w:rPr>
            </w:pPr>
            <w:r>
              <w:rPr>
                <w:noProof/>
              </w:rPr>
              <w:drawing>
                <wp:inline distT="0" distB="0" distL="0" distR="0" wp14:anchorId="0E80F792" wp14:editId="5A6ACD43">
                  <wp:extent cx="943583" cy="604691"/>
                  <wp:effectExtent l="0" t="0" r="0" b="5080"/>
                  <wp:docPr id="32" name="Picture 3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981702" cy="629119"/>
                          </a:xfrm>
                          <a:prstGeom prst="rect">
                            <a:avLst/>
                          </a:prstGeom>
                        </pic:spPr>
                      </pic:pic>
                    </a:graphicData>
                  </a:graphic>
                </wp:inline>
              </w:drawing>
            </w:r>
          </w:p>
        </w:tc>
        <w:tc>
          <w:tcPr>
            <w:tcW w:w="7555" w:type="dxa"/>
            <w:vAlign w:val="center"/>
          </w:tcPr>
          <w:p w14:paraId="27950AA8" w14:textId="0BD2E2DB" w:rsidR="00157EC2" w:rsidRDefault="00416C66" w:rsidP="00416C66">
            <w:pPr>
              <w:spacing w:before="40" w:after="40"/>
            </w:pPr>
            <w:r>
              <w:t>System (here a non-cybersecurity system is shown)</w:t>
            </w:r>
          </w:p>
        </w:tc>
      </w:tr>
      <w:tr w:rsidR="00157EC2" w14:paraId="752291C9" w14:textId="77777777" w:rsidTr="00416C66">
        <w:tc>
          <w:tcPr>
            <w:tcW w:w="1795" w:type="dxa"/>
          </w:tcPr>
          <w:p w14:paraId="5AE50435" w14:textId="707FE652" w:rsidR="00F42639" w:rsidRDefault="00157EC2" w:rsidP="00157EC2">
            <w:pPr>
              <w:spacing w:before="40" w:after="40"/>
              <w:jc w:val="center"/>
            </w:pPr>
            <w:r>
              <w:rPr>
                <w:noProof/>
              </w:rPr>
              <w:drawing>
                <wp:inline distT="0" distB="0" distL="0" distR="0" wp14:anchorId="75B3BFF0" wp14:editId="2999DE89">
                  <wp:extent cx="535021" cy="535021"/>
                  <wp:effectExtent l="0" t="0" r="0" b="0"/>
                  <wp:docPr id="20" name="Picture 20" descr="A picture containing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venn 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47348" cy="547348"/>
                          </a:xfrm>
                          <a:prstGeom prst="rect">
                            <a:avLst/>
                          </a:prstGeom>
                        </pic:spPr>
                      </pic:pic>
                    </a:graphicData>
                  </a:graphic>
                </wp:inline>
              </w:drawing>
            </w:r>
          </w:p>
        </w:tc>
        <w:tc>
          <w:tcPr>
            <w:tcW w:w="7555" w:type="dxa"/>
            <w:vAlign w:val="center"/>
          </w:tcPr>
          <w:p w14:paraId="1EDF3C8C" w14:textId="5778000D" w:rsidR="00F42639" w:rsidRDefault="00416C66" w:rsidP="00416C66">
            <w:pPr>
              <w:spacing w:before="40" w:after="40"/>
            </w:pPr>
            <w:r>
              <w:t>Transfer to or from another area of the diagram (used to reduce diagram clutter)</w:t>
            </w:r>
          </w:p>
        </w:tc>
      </w:tr>
      <w:tr w:rsidR="00157EC2" w14:paraId="749FBE9D" w14:textId="77777777" w:rsidTr="00416C66">
        <w:tc>
          <w:tcPr>
            <w:tcW w:w="1795" w:type="dxa"/>
          </w:tcPr>
          <w:p w14:paraId="4A3FBE6F" w14:textId="4D8B326C" w:rsidR="00F42639" w:rsidRDefault="00157EC2" w:rsidP="00157EC2">
            <w:pPr>
              <w:spacing w:before="40" w:after="40"/>
              <w:jc w:val="center"/>
            </w:pPr>
            <w:r>
              <w:rPr>
                <w:noProof/>
              </w:rPr>
              <w:drawing>
                <wp:inline distT="0" distB="0" distL="0" distR="0" wp14:anchorId="701A462D" wp14:editId="21DA7A15">
                  <wp:extent cx="612842" cy="470980"/>
                  <wp:effectExtent l="0" t="0" r="0" b="0"/>
                  <wp:docPr id="21" name="Picture 2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Shap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65777" cy="511661"/>
                          </a:xfrm>
                          <a:prstGeom prst="rect">
                            <a:avLst/>
                          </a:prstGeom>
                        </pic:spPr>
                      </pic:pic>
                    </a:graphicData>
                  </a:graphic>
                </wp:inline>
              </w:drawing>
            </w:r>
          </w:p>
        </w:tc>
        <w:tc>
          <w:tcPr>
            <w:tcW w:w="7555" w:type="dxa"/>
            <w:vAlign w:val="center"/>
          </w:tcPr>
          <w:p w14:paraId="0A799041" w14:textId="7AF7FF14" w:rsidR="00F42639" w:rsidRDefault="00416C66" w:rsidP="00416C66">
            <w:pPr>
              <w:spacing w:before="40" w:after="40"/>
            </w:pPr>
            <w:r>
              <w:t>Cybersecurity process flow</w:t>
            </w:r>
          </w:p>
        </w:tc>
      </w:tr>
      <w:tr w:rsidR="00157EC2" w14:paraId="3947823B" w14:textId="77777777" w:rsidTr="00416C66">
        <w:tc>
          <w:tcPr>
            <w:tcW w:w="1795" w:type="dxa"/>
          </w:tcPr>
          <w:p w14:paraId="2F60854C" w14:textId="312016EC" w:rsidR="00F42639" w:rsidRDefault="00157EC2" w:rsidP="00157EC2">
            <w:pPr>
              <w:spacing w:before="40" w:after="40"/>
              <w:jc w:val="center"/>
            </w:pPr>
            <w:r>
              <w:rPr>
                <w:noProof/>
              </w:rPr>
              <w:drawing>
                <wp:inline distT="0" distB="0" distL="0" distR="0" wp14:anchorId="371C1D5F" wp14:editId="040E5706">
                  <wp:extent cx="457200" cy="558053"/>
                  <wp:effectExtent l="0" t="0" r="0" b="1270"/>
                  <wp:docPr id="22" name="Picture 22"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ic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90823" cy="599092"/>
                          </a:xfrm>
                          <a:prstGeom prst="rect">
                            <a:avLst/>
                          </a:prstGeom>
                        </pic:spPr>
                      </pic:pic>
                    </a:graphicData>
                  </a:graphic>
                </wp:inline>
              </w:drawing>
            </w:r>
          </w:p>
        </w:tc>
        <w:tc>
          <w:tcPr>
            <w:tcW w:w="7555" w:type="dxa"/>
            <w:vAlign w:val="center"/>
          </w:tcPr>
          <w:p w14:paraId="24E67C9E" w14:textId="175FFEA1" w:rsidR="00F42639" w:rsidRDefault="00416C66" w:rsidP="00416C66">
            <w:pPr>
              <w:spacing w:before="40" w:after="40"/>
            </w:pPr>
            <w:r>
              <w:t>Non-cybersecurity process flow</w:t>
            </w:r>
          </w:p>
        </w:tc>
      </w:tr>
      <w:tr w:rsidR="00416C66" w14:paraId="220510F8" w14:textId="77777777" w:rsidTr="00416C66">
        <w:tc>
          <w:tcPr>
            <w:tcW w:w="1795" w:type="dxa"/>
          </w:tcPr>
          <w:p w14:paraId="30B2C531" w14:textId="49E53D06" w:rsidR="00157EC2" w:rsidRDefault="00157EC2" w:rsidP="00157EC2">
            <w:pPr>
              <w:spacing w:before="40" w:after="40"/>
              <w:jc w:val="center"/>
              <w:rPr>
                <w:noProof/>
              </w:rPr>
            </w:pPr>
            <w:r>
              <w:rPr>
                <w:noProof/>
              </w:rPr>
              <w:drawing>
                <wp:inline distT="0" distB="0" distL="0" distR="0" wp14:anchorId="7A62F108" wp14:editId="05CC6F07">
                  <wp:extent cx="1040859" cy="225261"/>
                  <wp:effectExtent l="0" t="0" r="635" b="3810"/>
                  <wp:docPr id="30" name="Picture 30" descr="A picture contain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picture containing indoor&#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104147" cy="238958"/>
                          </a:xfrm>
                          <a:prstGeom prst="rect">
                            <a:avLst/>
                          </a:prstGeom>
                        </pic:spPr>
                      </pic:pic>
                    </a:graphicData>
                  </a:graphic>
                </wp:inline>
              </w:drawing>
            </w:r>
          </w:p>
        </w:tc>
        <w:tc>
          <w:tcPr>
            <w:tcW w:w="7555" w:type="dxa"/>
            <w:vAlign w:val="center"/>
          </w:tcPr>
          <w:p w14:paraId="5543B860" w14:textId="124C67A9" w:rsidR="00157EC2" w:rsidRDefault="00416C66" w:rsidP="00416C66">
            <w:pPr>
              <w:spacing w:before="40" w:after="40"/>
            </w:pPr>
            <w:r>
              <w:t>Feedback flow</w:t>
            </w:r>
          </w:p>
        </w:tc>
      </w:tr>
    </w:tbl>
    <w:p w14:paraId="7C22FAFD" w14:textId="23B5C82B" w:rsidR="004868FA" w:rsidRDefault="004868FA" w:rsidP="00F42639"/>
    <w:p w14:paraId="589CD594" w14:textId="6361883F" w:rsidR="004868FA" w:rsidRDefault="00416C66" w:rsidP="00416C66">
      <w:pPr>
        <w:spacing w:after="240"/>
        <w:ind w:left="720" w:hanging="720"/>
        <w:jc w:val="both"/>
      </w:pPr>
      <w:r w:rsidRPr="00416C66">
        <w:rPr>
          <w:b/>
          <w:bCs/>
          <w:color w:val="0070C0"/>
        </w:rPr>
        <w:t>Note:</w:t>
      </w:r>
      <w:r w:rsidRPr="00416C66">
        <w:rPr>
          <w:b/>
          <w:bCs/>
          <w:color w:val="0070C0"/>
        </w:rPr>
        <w:tab/>
      </w:r>
      <w:r>
        <w:t>There is no significance to the background color of each phase block. They differ in order to improve visual uptake.</w:t>
      </w:r>
    </w:p>
    <w:p w14:paraId="13B192BB" w14:textId="77777777" w:rsidR="004868FA" w:rsidRDefault="004868FA">
      <w:pPr>
        <w:rPr>
          <w:sz w:val="40"/>
          <w:szCs w:val="40"/>
        </w:rPr>
      </w:pPr>
      <w:r>
        <w:br w:type="page"/>
      </w:r>
    </w:p>
    <w:p w14:paraId="6EC82FD3" w14:textId="4E0E3FC7" w:rsidR="006507F3" w:rsidRDefault="009C6141" w:rsidP="006507F3">
      <w:pPr>
        <w:pStyle w:val="Heading1"/>
      </w:pPr>
      <w:r>
        <w:lastRenderedPageBreak/>
        <w:t>Feedback by Phase</w:t>
      </w:r>
    </w:p>
    <w:p w14:paraId="3D84A806" w14:textId="1B867DE6" w:rsidR="005C5920" w:rsidRDefault="009C6141" w:rsidP="005C5920">
      <w:pPr>
        <w:pStyle w:val="Heading2"/>
      </w:pPr>
      <w:r>
        <w:t>Foundation / Requirements</w:t>
      </w:r>
    </w:p>
    <w:p w14:paraId="5554CD6E" w14:textId="77777777" w:rsidR="006862BA" w:rsidRDefault="006862BA" w:rsidP="006862BA">
      <w:pPr>
        <w:spacing w:after="240"/>
        <w:ind w:left="720" w:hanging="720"/>
        <w:jc w:val="both"/>
      </w:pPr>
      <w:r w:rsidRPr="006862BA">
        <w:rPr>
          <w:b/>
          <w:bCs/>
          <w:color w:val="0070C0"/>
        </w:rPr>
        <w:t>Note:</w:t>
      </w:r>
      <w:r w:rsidRPr="006862BA">
        <w:rPr>
          <w:b/>
          <w:bCs/>
          <w:color w:val="0070C0"/>
        </w:rPr>
        <w:tab/>
      </w:r>
      <w:r>
        <w:t>Because the foundation phase is considered to be under constant review, it is combined with the requirements phase for the sake of convenience.</w:t>
      </w:r>
    </w:p>
    <w:p w14:paraId="410F5F15" w14:textId="69262E36" w:rsidR="005C5920" w:rsidRDefault="006862BA" w:rsidP="006862BA">
      <w:pPr>
        <w:spacing w:after="240"/>
      </w:pPr>
      <w:r>
        <w:t>The foundation and requirements phases have the following feedback behavior.</w:t>
      </w:r>
    </w:p>
    <w:p w14:paraId="05BF8A6A" w14:textId="5D57020F" w:rsidR="005C5920" w:rsidRDefault="009C6141" w:rsidP="005C5920">
      <w:pPr>
        <w:jc w:val="center"/>
      </w:pPr>
      <w:r>
        <w:rPr>
          <w:noProof/>
        </w:rPr>
        <w:drawing>
          <wp:inline distT="0" distB="0" distL="0" distR="0" wp14:anchorId="6DF6F215" wp14:editId="63426AAA">
            <wp:extent cx="5943600" cy="380143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0">
                      <a:extLst>
                        <a:ext uri="{28A0092B-C50C-407E-A947-70E740481C1C}">
                          <a14:useLocalDpi xmlns:a14="http://schemas.microsoft.com/office/drawing/2010/main" val="0"/>
                        </a:ext>
                      </a:extLst>
                    </a:blip>
                    <a:stretch>
                      <a:fillRect/>
                    </a:stretch>
                  </pic:blipFill>
                  <pic:spPr>
                    <a:xfrm>
                      <a:off x="0" y="0"/>
                      <a:ext cx="5943600" cy="3801438"/>
                    </a:xfrm>
                    <a:prstGeom prst="rect">
                      <a:avLst/>
                    </a:prstGeom>
                  </pic:spPr>
                </pic:pic>
              </a:graphicData>
            </a:graphic>
          </wp:inline>
        </w:drawing>
      </w:r>
    </w:p>
    <w:p w14:paraId="1FC615CA" w14:textId="77777777" w:rsidR="006862BA" w:rsidRDefault="006862BA" w:rsidP="005C5920">
      <w:pPr>
        <w:jc w:val="both"/>
      </w:pPr>
    </w:p>
    <w:p w14:paraId="15346D81" w14:textId="6892A730" w:rsidR="005C5920" w:rsidRDefault="00E04786" w:rsidP="006862BA">
      <w:pPr>
        <w:spacing w:after="240"/>
        <w:jc w:val="both"/>
      </w:pPr>
      <w:r>
        <w:t xml:space="preserve">Three main </w:t>
      </w:r>
      <w:r w:rsidR="00975D62">
        <w:t>activities</w:t>
      </w:r>
      <w:r>
        <w:t xml:space="preserve"> dominate the feedback within the foundation and requirements phases</w:t>
      </w:r>
      <w:r w:rsidR="005C5920">
        <w:t>.</w:t>
      </w:r>
      <w:r>
        <w:t xml:space="preserve"> The </w:t>
      </w:r>
      <w:r w:rsidRPr="00E04786">
        <w:rPr>
          <w:b/>
          <w:bCs/>
        </w:rPr>
        <w:t>global cybersecurity requirements</w:t>
      </w:r>
      <w:r>
        <w:t xml:space="preserve"> </w:t>
      </w:r>
      <w:r w:rsidR="001A2DB9">
        <w:t xml:space="preserve">derivation </w:t>
      </w:r>
      <w:r w:rsidR="00975D62">
        <w:t>activity</w:t>
      </w:r>
      <w:r>
        <w:t xml:space="preserve"> receives feedback during the creation of the</w:t>
      </w:r>
      <w:r w:rsidR="001A2DB9">
        <w:t xml:space="preserve"> </w:t>
      </w:r>
      <w:r w:rsidR="001A2DB9" w:rsidRPr="001A2DB9">
        <w:rPr>
          <w:b/>
          <w:bCs/>
        </w:rPr>
        <w:t>product-level cybersecurity requirements</w:t>
      </w:r>
      <w:r w:rsidR="001A2DB9">
        <w:t xml:space="preserve">. This feedback is covers gaps in the global requirements themselves. The </w:t>
      </w:r>
      <w:r w:rsidR="001A2DB9" w:rsidRPr="001A2DB9">
        <w:rPr>
          <w:b/>
          <w:bCs/>
        </w:rPr>
        <w:t>product-level cybersecurity requirements</w:t>
      </w:r>
      <w:r w:rsidR="001A2DB9">
        <w:t xml:space="preserve"> derivation </w:t>
      </w:r>
      <w:r w:rsidR="00975D62">
        <w:t>activity</w:t>
      </w:r>
      <w:r w:rsidR="001A2DB9">
        <w:t xml:space="preserve"> receives feedback during the </w:t>
      </w:r>
      <w:r w:rsidR="001A2DB9" w:rsidRPr="001A2DB9">
        <w:rPr>
          <w:b/>
          <w:bCs/>
        </w:rPr>
        <w:t>element requirements review</w:t>
      </w:r>
      <w:r w:rsidR="001A2DB9">
        <w:t xml:space="preserve"> </w:t>
      </w:r>
      <w:r w:rsidR="00975D62">
        <w:t>activity</w:t>
      </w:r>
      <w:r w:rsidR="001A2DB9">
        <w:t xml:space="preserve">. </w:t>
      </w:r>
      <w:r w:rsidR="000D50B9">
        <w:t>Again,</w:t>
      </w:r>
      <w:r w:rsidR="001A2DB9">
        <w:t xml:space="preserve"> this is requirements coverage gap feedback. Finally, </w:t>
      </w:r>
      <w:r w:rsidR="000D50B9">
        <w:t xml:space="preserve">additional </w:t>
      </w:r>
      <w:r w:rsidR="000D50B9" w:rsidRPr="000D50B9">
        <w:rPr>
          <w:b/>
          <w:bCs/>
        </w:rPr>
        <w:t>element requirements review</w:t>
      </w:r>
      <w:r w:rsidR="000D50B9">
        <w:t xml:space="preserve"> may be necessitated by incomplete or inadequate work being evidenced during the </w:t>
      </w:r>
      <w:r w:rsidR="000D50B9" w:rsidRPr="000D50B9">
        <w:rPr>
          <w:b/>
          <w:bCs/>
        </w:rPr>
        <w:t>requirements gate</w:t>
      </w:r>
      <w:r w:rsidR="000D50B9">
        <w:t xml:space="preserve">. In this case, we see that an issue is created in the </w:t>
      </w:r>
      <w:r w:rsidR="000D50B9" w:rsidRPr="000D50B9">
        <w:rPr>
          <w:b/>
          <w:bCs/>
        </w:rPr>
        <w:t>task / issue tracking system</w:t>
      </w:r>
      <w:r w:rsidR="000D50B9">
        <w:t>.</w:t>
      </w:r>
    </w:p>
    <w:p w14:paraId="6A596AA8" w14:textId="5E1EA5BB" w:rsidR="00083732" w:rsidRPr="00206788" w:rsidRDefault="00083732" w:rsidP="004F43AA">
      <w:pPr>
        <w:spacing w:after="240"/>
        <w:jc w:val="both"/>
      </w:pPr>
      <w:r>
        <w:br w:type="page"/>
      </w:r>
    </w:p>
    <w:p w14:paraId="28F1AD92" w14:textId="232BFD83" w:rsidR="00B146D0" w:rsidRDefault="009C6141" w:rsidP="00B146D0">
      <w:pPr>
        <w:pStyle w:val="Heading2"/>
      </w:pPr>
      <w:r>
        <w:lastRenderedPageBreak/>
        <w:t>Design</w:t>
      </w:r>
    </w:p>
    <w:p w14:paraId="5D709CF9" w14:textId="4435B9A8" w:rsidR="00B146D0" w:rsidRDefault="00EF0BBB" w:rsidP="00EF0BBB">
      <w:pPr>
        <w:spacing w:after="240"/>
      </w:pPr>
      <w:r>
        <w:t>The design phase has the following feedback behavior.</w:t>
      </w:r>
    </w:p>
    <w:p w14:paraId="4442E608" w14:textId="441BFDE0" w:rsidR="00B146D0" w:rsidRDefault="009C6141" w:rsidP="00B146D0">
      <w:pPr>
        <w:jc w:val="center"/>
      </w:pPr>
      <w:r>
        <w:rPr>
          <w:noProof/>
        </w:rPr>
        <w:drawing>
          <wp:inline distT="0" distB="0" distL="0" distR="0" wp14:anchorId="00E747C8" wp14:editId="749706D0">
            <wp:extent cx="5943600" cy="4201795"/>
            <wp:effectExtent l="0" t="0" r="0" b="190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943600" cy="4201795"/>
                    </a:xfrm>
                    <a:prstGeom prst="rect">
                      <a:avLst/>
                    </a:prstGeom>
                  </pic:spPr>
                </pic:pic>
              </a:graphicData>
            </a:graphic>
          </wp:inline>
        </w:drawing>
      </w:r>
    </w:p>
    <w:p w14:paraId="557FA396" w14:textId="77777777" w:rsidR="00B146D0" w:rsidRDefault="00B146D0" w:rsidP="00B146D0"/>
    <w:p w14:paraId="1CB393CD" w14:textId="69B740E3" w:rsidR="00B146D0" w:rsidRDefault="00B146D0" w:rsidP="00B146D0">
      <w:pPr>
        <w:jc w:val="both"/>
      </w:pPr>
      <w:r w:rsidRPr="002658B3">
        <w:t xml:space="preserve">The </w:t>
      </w:r>
      <w:r w:rsidR="00913C8C">
        <w:t xml:space="preserve">design phase </w:t>
      </w:r>
      <w:r w:rsidR="008B5A91">
        <w:t xml:space="preserve">has </w:t>
      </w:r>
      <w:r w:rsidR="00913C8C">
        <w:t>a single point of feedback</w:t>
      </w:r>
      <w:r>
        <w:t>.</w:t>
      </w:r>
      <w:r w:rsidR="00913C8C">
        <w:t xml:space="preserve"> The </w:t>
      </w:r>
      <w:r w:rsidR="00913C8C" w:rsidRPr="00913C8C">
        <w:rPr>
          <w:b/>
          <w:bCs/>
        </w:rPr>
        <w:t>element design review</w:t>
      </w:r>
      <w:r w:rsidR="00913C8C">
        <w:t xml:space="preserve"> may be revisited as the result of deficiencies being identified during the </w:t>
      </w:r>
      <w:r w:rsidR="00913C8C" w:rsidRPr="00913C8C">
        <w:rPr>
          <w:b/>
          <w:bCs/>
        </w:rPr>
        <w:t>attack surface analysis</w:t>
      </w:r>
      <w:r w:rsidR="00913C8C">
        <w:t xml:space="preserve"> or </w:t>
      </w:r>
      <w:r w:rsidR="00913C8C" w:rsidRPr="00913C8C">
        <w:rPr>
          <w:b/>
          <w:bCs/>
        </w:rPr>
        <w:t>threat modeling</w:t>
      </w:r>
      <w:r w:rsidR="00913C8C">
        <w:t xml:space="preserve"> activities. Both of these </w:t>
      </w:r>
      <w:r w:rsidR="00975D62">
        <w:t>activities</w:t>
      </w:r>
      <w:r w:rsidR="00913C8C">
        <w:t xml:space="preserve"> feedback through application of the </w:t>
      </w:r>
      <w:r w:rsidR="00913C8C" w:rsidRPr="00913C8C">
        <w:rPr>
          <w:b/>
          <w:bCs/>
        </w:rPr>
        <w:t xml:space="preserve">threat prioritization process </w:t>
      </w:r>
      <w:r w:rsidR="00913C8C" w:rsidRPr="00913C8C">
        <w:rPr>
          <w:b/>
          <w:bCs/>
          <w:color w:val="0070C0"/>
          <w:vertAlign w:val="superscript"/>
        </w:rPr>
        <w:t>[2]</w:t>
      </w:r>
      <w:r w:rsidR="00913C8C">
        <w:t>.</w:t>
      </w:r>
      <w:r w:rsidR="00EF0BBB">
        <w:t xml:space="preserve"> This process eventually feeds into the </w:t>
      </w:r>
      <w:r w:rsidR="00EF0BBB" w:rsidRPr="00EF0BBB">
        <w:rPr>
          <w:b/>
          <w:bCs/>
        </w:rPr>
        <w:t>task / issue tracking system</w:t>
      </w:r>
      <w:r w:rsidR="00EF0BBB">
        <w:t xml:space="preserve">. In addition, the </w:t>
      </w:r>
      <w:r w:rsidR="00EF0BBB" w:rsidRPr="00EF0BBB">
        <w:rPr>
          <w:b/>
          <w:bCs/>
        </w:rPr>
        <w:t>design gate</w:t>
      </w:r>
      <w:r w:rsidR="00EF0BBB">
        <w:t xml:space="preserve"> may result in issues requiring an updated </w:t>
      </w:r>
      <w:r w:rsidR="00EF0BBB" w:rsidRPr="00EF0BBB">
        <w:rPr>
          <w:b/>
          <w:bCs/>
        </w:rPr>
        <w:t>element design review</w:t>
      </w:r>
      <w:r w:rsidR="00EF0BBB">
        <w:t>. Finally, issue</w:t>
      </w:r>
      <w:r w:rsidR="007E7652">
        <w:t>s</w:t>
      </w:r>
      <w:r w:rsidR="00EF0BBB">
        <w:t xml:space="preserve"> </w:t>
      </w:r>
      <w:r w:rsidR="00975D62">
        <w:t>may require</w:t>
      </w:r>
      <w:r w:rsidR="00EF0BBB">
        <w:t xml:space="preserve"> a new </w:t>
      </w:r>
      <w:r w:rsidR="00EF0BBB" w:rsidRPr="00EF0BBB">
        <w:rPr>
          <w:b/>
          <w:bCs/>
        </w:rPr>
        <w:t>element requirements review</w:t>
      </w:r>
      <w:r w:rsidR="00EF0BBB">
        <w:t xml:space="preserve"> as seen by the inclusion of the </w:t>
      </w:r>
      <w:r w:rsidR="00EF0BBB" w:rsidRPr="00EF0BBB">
        <w:rPr>
          <w:b/>
          <w:bCs/>
        </w:rPr>
        <w:t>foundation / requirements</w:t>
      </w:r>
      <w:r w:rsidR="00EF0BBB">
        <w:rPr>
          <w:b/>
          <w:bCs/>
        </w:rPr>
        <w:t xml:space="preserve"> phases</w:t>
      </w:r>
      <w:r w:rsidR="00EF0BBB" w:rsidRPr="00EF0BBB">
        <w:rPr>
          <w:b/>
          <w:bCs/>
        </w:rPr>
        <w:t xml:space="preserve"> </w:t>
      </w:r>
      <w:r w:rsidR="00EF0BBB">
        <w:t>(abbreviated form).</w:t>
      </w:r>
    </w:p>
    <w:p w14:paraId="5AACB5F4" w14:textId="77777777" w:rsidR="006265EC" w:rsidRDefault="006265EC">
      <w:pPr>
        <w:rPr>
          <w:sz w:val="32"/>
          <w:szCs w:val="32"/>
        </w:rPr>
      </w:pPr>
      <w:r>
        <w:br w:type="page"/>
      </w:r>
    </w:p>
    <w:p w14:paraId="31454EE6" w14:textId="44427F80" w:rsidR="00B2435C" w:rsidRDefault="009C6141" w:rsidP="00B2435C">
      <w:pPr>
        <w:pStyle w:val="Heading2"/>
      </w:pPr>
      <w:r>
        <w:lastRenderedPageBreak/>
        <w:t>Implementation</w:t>
      </w:r>
    </w:p>
    <w:p w14:paraId="4564E001" w14:textId="41C1AD5E" w:rsidR="00B2435C" w:rsidRDefault="007537CA" w:rsidP="007537CA">
      <w:pPr>
        <w:spacing w:after="240"/>
      </w:pPr>
      <w:r>
        <w:t>The implementation phase has the following feedback behavior.</w:t>
      </w:r>
    </w:p>
    <w:p w14:paraId="49F24F31" w14:textId="5F241AED" w:rsidR="00B2435C" w:rsidRDefault="009C6141" w:rsidP="00B2435C">
      <w:pPr>
        <w:jc w:val="center"/>
      </w:pPr>
      <w:r>
        <w:rPr>
          <w:noProof/>
        </w:rPr>
        <w:drawing>
          <wp:inline distT="0" distB="0" distL="0" distR="0" wp14:anchorId="0729DD94" wp14:editId="23984313">
            <wp:extent cx="5943600" cy="3881755"/>
            <wp:effectExtent l="0" t="0" r="0" b="444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943600" cy="3881755"/>
                    </a:xfrm>
                    <a:prstGeom prst="rect">
                      <a:avLst/>
                    </a:prstGeom>
                  </pic:spPr>
                </pic:pic>
              </a:graphicData>
            </a:graphic>
          </wp:inline>
        </w:drawing>
      </w:r>
    </w:p>
    <w:p w14:paraId="6FD4F9EB" w14:textId="77777777" w:rsidR="00B2435C" w:rsidRDefault="00B2435C" w:rsidP="00B2435C"/>
    <w:p w14:paraId="0E899B43" w14:textId="2621E697" w:rsidR="007537CA" w:rsidRDefault="007537CA" w:rsidP="007537CA">
      <w:pPr>
        <w:jc w:val="both"/>
      </w:pPr>
      <w:r w:rsidRPr="002658B3">
        <w:t xml:space="preserve">The </w:t>
      </w:r>
      <w:r w:rsidR="001B0AF2">
        <w:t>implementation</w:t>
      </w:r>
      <w:r>
        <w:t xml:space="preserve"> phase </w:t>
      </w:r>
      <w:r w:rsidR="00351BAA">
        <w:t xml:space="preserve">has </w:t>
      </w:r>
      <w:r>
        <w:t xml:space="preserve">a single point of feedback. The </w:t>
      </w:r>
      <w:r w:rsidRPr="00913C8C">
        <w:rPr>
          <w:b/>
          <w:bCs/>
        </w:rPr>
        <w:t xml:space="preserve">element </w:t>
      </w:r>
      <w:r w:rsidR="001B0AF2">
        <w:rPr>
          <w:b/>
          <w:bCs/>
        </w:rPr>
        <w:t>implementation</w:t>
      </w:r>
      <w:r>
        <w:t xml:space="preserve"> may be revisited as the result of deficiencies being identified during the </w:t>
      </w:r>
      <w:r w:rsidR="001B0AF2">
        <w:rPr>
          <w:b/>
          <w:bCs/>
        </w:rPr>
        <w:t>fuzz testing</w:t>
      </w:r>
      <w:r w:rsidR="001B0AF2">
        <w:t xml:space="preserve">, </w:t>
      </w:r>
      <w:r w:rsidR="001B0AF2">
        <w:rPr>
          <w:b/>
          <w:bCs/>
        </w:rPr>
        <w:t>static analysis</w:t>
      </w:r>
      <w:r w:rsidR="001B0AF2">
        <w:t xml:space="preserve">, </w:t>
      </w:r>
      <w:r w:rsidR="001B0AF2">
        <w:rPr>
          <w:b/>
          <w:bCs/>
        </w:rPr>
        <w:t>dynamic analysis</w:t>
      </w:r>
      <w:r w:rsidR="001B0AF2">
        <w:t xml:space="preserve">, </w:t>
      </w:r>
      <w:r>
        <w:t xml:space="preserve">or </w:t>
      </w:r>
      <w:r w:rsidR="001B0AF2">
        <w:rPr>
          <w:b/>
          <w:bCs/>
        </w:rPr>
        <w:t>security code review</w:t>
      </w:r>
      <w:r>
        <w:t xml:space="preserve"> activities. </w:t>
      </w:r>
      <w:r w:rsidR="001B0AF2">
        <w:t>T</w:t>
      </w:r>
      <w:r>
        <w:t xml:space="preserve">hese </w:t>
      </w:r>
      <w:r w:rsidR="00975D62">
        <w:t>activities</w:t>
      </w:r>
      <w:r>
        <w:t xml:space="preserve"> feedback through application of the </w:t>
      </w:r>
      <w:r w:rsidRPr="00913C8C">
        <w:rPr>
          <w:b/>
          <w:bCs/>
        </w:rPr>
        <w:t xml:space="preserve">threat prioritization process </w:t>
      </w:r>
      <w:r w:rsidRPr="00913C8C">
        <w:rPr>
          <w:b/>
          <w:bCs/>
          <w:color w:val="0070C0"/>
          <w:vertAlign w:val="superscript"/>
        </w:rPr>
        <w:t>[2]</w:t>
      </w:r>
      <w:r>
        <w:t xml:space="preserve">. In addition, the </w:t>
      </w:r>
      <w:r w:rsidR="001B0AF2">
        <w:rPr>
          <w:b/>
          <w:bCs/>
        </w:rPr>
        <w:t>implementation</w:t>
      </w:r>
      <w:r w:rsidRPr="00EF0BBB">
        <w:rPr>
          <w:b/>
          <w:bCs/>
        </w:rPr>
        <w:t xml:space="preserve"> gate</w:t>
      </w:r>
      <w:r>
        <w:t xml:space="preserve"> may result in issues requiring an updated </w:t>
      </w:r>
      <w:r w:rsidRPr="00EF0BBB">
        <w:rPr>
          <w:b/>
          <w:bCs/>
        </w:rPr>
        <w:t xml:space="preserve">element </w:t>
      </w:r>
      <w:r w:rsidR="001B0AF2">
        <w:rPr>
          <w:b/>
          <w:bCs/>
        </w:rPr>
        <w:t>implementation</w:t>
      </w:r>
      <w:r>
        <w:t>. Finally, issue</w:t>
      </w:r>
      <w:r w:rsidR="00975D62">
        <w:t>s may</w:t>
      </w:r>
      <w:r>
        <w:t xml:space="preserve"> require </w:t>
      </w:r>
      <w:r w:rsidR="001B0AF2">
        <w:t xml:space="preserve">revisiting </w:t>
      </w:r>
      <w:r w:rsidR="00AF2C9D">
        <w:t xml:space="preserve">activities in </w:t>
      </w:r>
      <w:r w:rsidR="001B0AF2">
        <w:t>previous phases</w:t>
      </w:r>
      <w:r>
        <w:t>.</w:t>
      </w:r>
    </w:p>
    <w:p w14:paraId="568DA4DB" w14:textId="77777777" w:rsidR="00820C0C" w:rsidRDefault="00820C0C">
      <w:pPr>
        <w:rPr>
          <w:b/>
          <w:bCs/>
          <w:color w:val="0070C0"/>
        </w:rPr>
      </w:pPr>
      <w:r>
        <w:rPr>
          <w:b/>
          <w:bCs/>
          <w:color w:val="0070C0"/>
        </w:rPr>
        <w:br w:type="page"/>
      </w:r>
    </w:p>
    <w:p w14:paraId="214C397F" w14:textId="555A6596" w:rsidR="009C6141" w:rsidRDefault="009C6141" w:rsidP="009C6141">
      <w:pPr>
        <w:pStyle w:val="Heading2"/>
      </w:pPr>
      <w:r>
        <w:lastRenderedPageBreak/>
        <w:t>Verification</w:t>
      </w:r>
    </w:p>
    <w:p w14:paraId="3E24D56D" w14:textId="106652AF" w:rsidR="007537CA" w:rsidRDefault="007537CA" w:rsidP="007537CA">
      <w:pPr>
        <w:spacing w:after="240"/>
      </w:pPr>
      <w:r>
        <w:t>The verification phase has the following feedback behavior.</w:t>
      </w:r>
    </w:p>
    <w:p w14:paraId="12635312" w14:textId="7652A77C" w:rsidR="009C6141" w:rsidRDefault="009C6141" w:rsidP="009C6141">
      <w:pPr>
        <w:jc w:val="center"/>
      </w:pPr>
      <w:r>
        <w:rPr>
          <w:noProof/>
        </w:rPr>
        <w:drawing>
          <wp:inline distT="0" distB="0" distL="0" distR="0" wp14:anchorId="5BF0499D" wp14:editId="43258BB2">
            <wp:extent cx="5943600" cy="3833495"/>
            <wp:effectExtent l="0" t="0" r="0" b="190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943600" cy="3833495"/>
                    </a:xfrm>
                    <a:prstGeom prst="rect">
                      <a:avLst/>
                    </a:prstGeom>
                  </pic:spPr>
                </pic:pic>
              </a:graphicData>
            </a:graphic>
          </wp:inline>
        </w:drawing>
      </w:r>
    </w:p>
    <w:p w14:paraId="0776938A" w14:textId="77777777" w:rsidR="009C6141" w:rsidRDefault="009C6141" w:rsidP="009C6141"/>
    <w:p w14:paraId="50161C2D" w14:textId="7A3C2355" w:rsidR="007537CA" w:rsidRDefault="00AF2C9D" w:rsidP="007537CA">
      <w:pPr>
        <w:jc w:val="both"/>
      </w:pPr>
      <w:r w:rsidRPr="002658B3">
        <w:t xml:space="preserve">The </w:t>
      </w:r>
      <w:r w:rsidR="004A71B8">
        <w:t>verification</w:t>
      </w:r>
      <w:r>
        <w:t xml:space="preserve"> phase </w:t>
      </w:r>
      <w:r w:rsidR="004A71B8">
        <w:t>no</w:t>
      </w:r>
      <w:r>
        <w:t xml:space="preserve"> feedback</w:t>
      </w:r>
      <w:r w:rsidR="004A71B8">
        <w:t xml:space="preserve"> points</w:t>
      </w:r>
      <w:r>
        <w:t xml:space="preserve">. </w:t>
      </w:r>
      <w:r w:rsidR="004A71B8">
        <w:t>Activities in previous phase (shown above)</w:t>
      </w:r>
      <w:r>
        <w:t xml:space="preserve"> may be revisited as the result of deficiencies being identified during the </w:t>
      </w:r>
      <w:r w:rsidR="004A71B8">
        <w:rPr>
          <w:b/>
          <w:bCs/>
        </w:rPr>
        <w:t>penetration testing</w:t>
      </w:r>
      <w:r>
        <w:t xml:space="preserve">, </w:t>
      </w:r>
      <w:r w:rsidR="004A71B8">
        <w:rPr>
          <w:b/>
          <w:bCs/>
        </w:rPr>
        <w:t>attack surface analysis review</w:t>
      </w:r>
      <w:r>
        <w:t xml:space="preserve">, or </w:t>
      </w:r>
      <w:r w:rsidR="004A71B8">
        <w:rPr>
          <w:b/>
          <w:bCs/>
        </w:rPr>
        <w:t>threat modeling</w:t>
      </w:r>
      <w:r>
        <w:rPr>
          <w:b/>
          <w:bCs/>
        </w:rPr>
        <w:t xml:space="preserve"> review</w:t>
      </w:r>
      <w:r>
        <w:t xml:space="preserve"> activities. These </w:t>
      </w:r>
      <w:r w:rsidR="00975D62">
        <w:t>activities</w:t>
      </w:r>
      <w:r>
        <w:t xml:space="preserve"> feedback through application of the </w:t>
      </w:r>
      <w:r w:rsidRPr="00913C8C">
        <w:rPr>
          <w:b/>
          <w:bCs/>
        </w:rPr>
        <w:t xml:space="preserve">threat prioritization process </w:t>
      </w:r>
      <w:r w:rsidRPr="00913C8C">
        <w:rPr>
          <w:b/>
          <w:bCs/>
          <w:color w:val="0070C0"/>
          <w:vertAlign w:val="superscript"/>
        </w:rPr>
        <w:t>[2]</w:t>
      </w:r>
      <w:r>
        <w:t xml:space="preserve">. In addition, the </w:t>
      </w:r>
      <w:r w:rsidR="00B146C4">
        <w:rPr>
          <w:b/>
          <w:bCs/>
        </w:rPr>
        <w:t>verification</w:t>
      </w:r>
      <w:r w:rsidRPr="00EF0BBB">
        <w:rPr>
          <w:b/>
          <w:bCs/>
        </w:rPr>
        <w:t xml:space="preserve"> gate</w:t>
      </w:r>
      <w:r>
        <w:t xml:space="preserve"> may result in issues </w:t>
      </w:r>
      <w:r w:rsidR="004A71B8">
        <w:t xml:space="preserve">also </w:t>
      </w:r>
      <w:r>
        <w:t>requiring revisiting activities in previous phases.</w:t>
      </w:r>
    </w:p>
    <w:p w14:paraId="128BD58E" w14:textId="2E033C24" w:rsidR="009C6141" w:rsidRDefault="009C6141">
      <w:r>
        <w:br w:type="page"/>
      </w:r>
    </w:p>
    <w:p w14:paraId="6E61C4F6" w14:textId="1057D6C1" w:rsidR="009C6141" w:rsidRDefault="009C6141" w:rsidP="009C6141">
      <w:pPr>
        <w:pStyle w:val="Heading2"/>
      </w:pPr>
      <w:r>
        <w:lastRenderedPageBreak/>
        <w:t>Release</w:t>
      </w:r>
    </w:p>
    <w:p w14:paraId="407EBE3E" w14:textId="418CE810" w:rsidR="007537CA" w:rsidRDefault="007537CA" w:rsidP="007537CA">
      <w:pPr>
        <w:spacing w:after="240"/>
      </w:pPr>
      <w:r>
        <w:t>The release phase has the following feedback behavior.</w:t>
      </w:r>
    </w:p>
    <w:p w14:paraId="65004FE5" w14:textId="089FA52C" w:rsidR="009C6141" w:rsidRDefault="009C6141" w:rsidP="009C6141">
      <w:pPr>
        <w:jc w:val="center"/>
      </w:pPr>
      <w:r>
        <w:rPr>
          <w:noProof/>
        </w:rPr>
        <w:drawing>
          <wp:inline distT="0" distB="0" distL="0" distR="0" wp14:anchorId="6F903F74" wp14:editId="7B0A7B56">
            <wp:extent cx="5943600" cy="452705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4">
                      <a:extLst>
                        <a:ext uri="{28A0092B-C50C-407E-A947-70E740481C1C}">
                          <a14:useLocalDpi xmlns:a14="http://schemas.microsoft.com/office/drawing/2010/main" val="0"/>
                        </a:ext>
                      </a:extLst>
                    </a:blip>
                    <a:stretch>
                      <a:fillRect/>
                    </a:stretch>
                  </pic:blipFill>
                  <pic:spPr>
                    <a:xfrm>
                      <a:off x="0" y="0"/>
                      <a:ext cx="5943600" cy="4527051"/>
                    </a:xfrm>
                    <a:prstGeom prst="rect">
                      <a:avLst/>
                    </a:prstGeom>
                  </pic:spPr>
                </pic:pic>
              </a:graphicData>
            </a:graphic>
          </wp:inline>
        </w:drawing>
      </w:r>
    </w:p>
    <w:p w14:paraId="5805ED51" w14:textId="77777777" w:rsidR="009C6141" w:rsidRDefault="009C6141" w:rsidP="009C6141"/>
    <w:p w14:paraId="5434F3E5" w14:textId="151915B7" w:rsidR="004A71B8" w:rsidRDefault="004A71B8" w:rsidP="004A71B8">
      <w:pPr>
        <w:jc w:val="both"/>
      </w:pPr>
      <w:r w:rsidRPr="002658B3">
        <w:t xml:space="preserve">The </w:t>
      </w:r>
      <w:r>
        <w:t xml:space="preserve">release phase </w:t>
      </w:r>
      <w:r w:rsidR="00351BAA">
        <w:t>has</w:t>
      </w:r>
      <w:r>
        <w:t xml:space="preserve"> no feedback points. Activities in previous phase (shown above) may be revisited as the result of deficiencies being identified during the </w:t>
      </w:r>
      <w:r>
        <w:rPr>
          <w:b/>
          <w:bCs/>
        </w:rPr>
        <w:t>final security review</w:t>
      </w:r>
      <w:r>
        <w:t xml:space="preserve"> activity. In addition, the </w:t>
      </w:r>
      <w:r w:rsidR="00B146C4">
        <w:rPr>
          <w:b/>
          <w:bCs/>
        </w:rPr>
        <w:t>release</w:t>
      </w:r>
      <w:r w:rsidRPr="00EF0BBB">
        <w:rPr>
          <w:b/>
          <w:bCs/>
        </w:rPr>
        <w:t xml:space="preserve"> gate</w:t>
      </w:r>
      <w:r>
        <w:t xml:space="preserve"> may result in issues also requiring revisiting activities in previous phases.</w:t>
      </w:r>
    </w:p>
    <w:p w14:paraId="4D270E70" w14:textId="26A24A74" w:rsidR="009C6141" w:rsidRDefault="009C6141">
      <w:r>
        <w:br w:type="page"/>
      </w:r>
    </w:p>
    <w:p w14:paraId="491010A1" w14:textId="27BF2AF4" w:rsidR="009C6141" w:rsidRDefault="009C6141" w:rsidP="009C6141">
      <w:pPr>
        <w:pStyle w:val="Heading2"/>
      </w:pPr>
      <w:r>
        <w:lastRenderedPageBreak/>
        <w:t>Operation</w:t>
      </w:r>
    </w:p>
    <w:p w14:paraId="55AF858E" w14:textId="26C91297" w:rsidR="007537CA" w:rsidRDefault="007537CA" w:rsidP="007537CA">
      <w:pPr>
        <w:spacing w:after="240"/>
      </w:pPr>
      <w:r>
        <w:t>The operation phase has the following feedback behavior.</w:t>
      </w:r>
    </w:p>
    <w:p w14:paraId="53CA72A0" w14:textId="4171B2E8" w:rsidR="009C6141" w:rsidRDefault="009C6141" w:rsidP="009C6141">
      <w:pPr>
        <w:jc w:val="center"/>
      </w:pPr>
      <w:r>
        <w:rPr>
          <w:noProof/>
        </w:rPr>
        <w:drawing>
          <wp:inline distT="0" distB="0" distL="0" distR="0" wp14:anchorId="41E9456C" wp14:editId="588E5FB9">
            <wp:extent cx="5943600" cy="4489450"/>
            <wp:effectExtent l="0" t="0" r="0" b="635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943600" cy="4489450"/>
                    </a:xfrm>
                    <a:prstGeom prst="rect">
                      <a:avLst/>
                    </a:prstGeom>
                  </pic:spPr>
                </pic:pic>
              </a:graphicData>
            </a:graphic>
          </wp:inline>
        </w:drawing>
      </w:r>
    </w:p>
    <w:p w14:paraId="189C4E73" w14:textId="77777777" w:rsidR="009C6141" w:rsidRDefault="009C6141" w:rsidP="009C6141"/>
    <w:p w14:paraId="0E7D763B" w14:textId="16264D89" w:rsidR="004A71B8" w:rsidRDefault="004A71B8" w:rsidP="004A71B8">
      <w:pPr>
        <w:jc w:val="both"/>
      </w:pPr>
      <w:r w:rsidRPr="002658B3">
        <w:t xml:space="preserve">The </w:t>
      </w:r>
      <w:r w:rsidR="001B062D">
        <w:t>operation</w:t>
      </w:r>
      <w:r>
        <w:t xml:space="preserve"> phase </w:t>
      </w:r>
      <w:r w:rsidR="00351BAA">
        <w:t>has</w:t>
      </w:r>
      <w:r>
        <w:t xml:space="preserve"> no feedback points. </w:t>
      </w:r>
      <w:r w:rsidR="00B146C4">
        <w:t xml:space="preserve">Activities in previous phase (shown above) may be revisited as the result of deficiencies being identified during the </w:t>
      </w:r>
      <w:r w:rsidR="00B146C4">
        <w:rPr>
          <w:b/>
          <w:bCs/>
        </w:rPr>
        <w:t>cybersecurity monitoring</w:t>
      </w:r>
      <w:r w:rsidR="00B146C4">
        <w:t xml:space="preserve"> activity</w:t>
      </w:r>
      <w:r>
        <w:t xml:space="preserve">. </w:t>
      </w:r>
      <w:r w:rsidR="00B146C4">
        <w:t>F</w:t>
      </w:r>
      <w:r>
        <w:t>eedback</w:t>
      </w:r>
      <w:r w:rsidR="00B146C4">
        <w:t xml:space="preserve"> is accomplished</w:t>
      </w:r>
      <w:r>
        <w:t xml:space="preserve"> through application of the </w:t>
      </w:r>
      <w:r w:rsidRPr="00913C8C">
        <w:rPr>
          <w:b/>
          <w:bCs/>
        </w:rPr>
        <w:t xml:space="preserve">threat prioritization process </w:t>
      </w:r>
      <w:r w:rsidRPr="00913C8C">
        <w:rPr>
          <w:b/>
          <w:bCs/>
          <w:color w:val="0070C0"/>
          <w:vertAlign w:val="superscript"/>
        </w:rPr>
        <w:t>[2]</w:t>
      </w:r>
      <w:r>
        <w:t>.</w:t>
      </w:r>
    </w:p>
    <w:p w14:paraId="3B0EFD16" w14:textId="77777777" w:rsidR="008F7B05" w:rsidRDefault="008F7B05" w:rsidP="00766AEF">
      <w:pPr>
        <w:spacing w:after="240"/>
        <w:ind w:left="720" w:hanging="720"/>
        <w:jc w:val="both"/>
      </w:pPr>
    </w:p>
    <w:p w14:paraId="40487D89" w14:textId="19609507" w:rsidR="00766AEF" w:rsidRDefault="00766AEF">
      <w:r>
        <w:br w:type="page"/>
      </w:r>
    </w:p>
    <w:p w14:paraId="572287B0" w14:textId="3B68A68F" w:rsidR="006A35A0" w:rsidRDefault="006A35A0" w:rsidP="006A35A0">
      <w:pPr>
        <w:pStyle w:val="Heading1"/>
      </w:pPr>
      <w:bookmarkStart w:id="6" w:name="_Open_Source_Modification"/>
      <w:bookmarkEnd w:id="6"/>
      <w:r>
        <w:lastRenderedPageBreak/>
        <w:t xml:space="preserve">Additional </w:t>
      </w:r>
      <w:r w:rsidR="00FD65F5">
        <w:t>Freshness</w:t>
      </w:r>
      <w:r w:rsidR="00D1508D">
        <w:t xml:space="preserve"> Mechanisms</w:t>
      </w:r>
    </w:p>
    <w:p w14:paraId="62BC6285" w14:textId="3558C555" w:rsidR="006A35A0" w:rsidRDefault="006A35A0" w:rsidP="006A35A0">
      <w:pPr>
        <w:spacing w:after="240"/>
        <w:jc w:val="both"/>
      </w:pPr>
      <w:r>
        <w:t>Although</w:t>
      </w:r>
      <w:r w:rsidR="00193870">
        <w:t xml:space="preserve"> the process feedback is important to how</w:t>
      </w:r>
      <w:r>
        <w:t xml:space="preserve"> the </w:t>
      </w:r>
      <w:r w:rsidRPr="001B07A4">
        <w:rPr>
          <w:b/>
          <w:bCs/>
        </w:rPr>
        <w:t>AVCDL</w:t>
      </w:r>
      <w:r w:rsidR="00193870">
        <w:t xml:space="preserve"> achieves cybersecurity risk freshness, it is not the only mechanism at play</w:t>
      </w:r>
      <w:r>
        <w:t>.</w:t>
      </w:r>
      <w:r w:rsidR="00193870">
        <w:t xml:space="preserve"> Throughout the </w:t>
      </w:r>
      <w:r w:rsidR="00193870" w:rsidRPr="00FD65F5">
        <w:rPr>
          <w:b/>
          <w:bCs/>
        </w:rPr>
        <w:t>AVCDL</w:t>
      </w:r>
      <w:r w:rsidR="00193870">
        <w:t xml:space="preserve"> several technologies and mechanisms are called out.</w:t>
      </w:r>
    </w:p>
    <w:p w14:paraId="4FC50E59" w14:textId="474E395A" w:rsidR="00D1508D" w:rsidRDefault="00D1508D" w:rsidP="00D1508D">
      <w:pPr>
        <w:pStyle w:val="Heading2"/>
      </w:pPr>
      <w:r>
        <w:t>Databases</w:t>
      </w:r>
    </w:p>
    <w:p w14:paraId="55C442E0" w14:textId="5D1C7594" w:rsidR="00D1508D" w:rsidRDefault="00FD65F5" w:rsidP="00FD65F5">
      <w:pPr>
        <w:spacing w:after="240"/>
        <w:jc w:val="both"/>
      </w:pPr>
      <w:r>
        <w:t xml:space="preserve">In order to ensure the feedforward is fresh, the </w:t>
      </w:r>
      <w:r w:rsidRPr="00FD65F5">
        <w:rPr>
          <w:b/>
          <w:bCs/>
        </w:rPr>
        <w:t>AVCDL</w:t>
      </w:r>
      <w:r>
        <w:t xml:space="preserve"> specifies the use of databases</w:t>
      </w:r>
      <w:r w:rsidR="00D1508D">
        <w:t>.</w:t>
      </w:r>
      <w:r>
        <w:t xml:space="preserve"> This eliminates the need for traditional text data scanning and aggregation prior to use. It also enables a much richer analytic capability within the individual </w:t>
      </w:r>
      <w:r w:rsidRPr="00FD65F5">
        <w:rPr>
          <w:b/>
          <w:bCs/>
        </w:rPr>
        <w:t>AVCDL</w:t>
      </w:r>
      <w:r>
        <w:t xml:space="preserve"> activities. </w:t>
      </w:r>
      <w:r w:rsidR="005344B5">
        <w:t xml:space="preserve">The </w:t>
      </w:r>
      <w:r w:rsidR="005344B5" w:rsidRPr="00173CC3">
        <w:rPr>
          <w:b/>
          <w:bCs/>
        </w:rPr>
        <w:t>AVCDL</w:t>
      </w:r>
      <w:r w:rsidR="005344B5">
        <w:t xml:space="preserve"> elaboration document </w:t>
      </w:r>
      <w:r w:rsidR="005344B5" w:rsidRPr="005344B5">
        <w:rPr>
          <w:b/>
          <w:bCs/>
        </w:rPr>
        <w:t xml:space="preserve">Software Bill of Materials Lifecycle </w:t>
      </w:r>
      <w:r w:rsidR="005344B5" w:rsidRPr="005344B5">
        <w:rPr>
          <w:b/>
          <w:bCs/>
          <w:color w:val="0070C0"/>
          <w:vertAlign w:val="superscript"/>
        </w:rPr>
        <w:t>[8]</w:t>
      </w:r>
      <w:r w:rsidR="005344B5">
        <w:t xml:space="preserve"> illustrates how these database allow for the clean integration of multiple </w:t>
      </w:r>
      <w:r w:rsidR="005344B5" w:rsidRPr="005344B5">
        <w:rPr>
          <w:b/>
          <w:bCs/>
        </w:rPr>
        <w:t>AVCDL</w:t>
      </w:r>
      <w:r w:rsidR="005344B5">
        <w:t xml:space="preserve"> processes.</w:t>
      </w:r>
    </w:p>
    <w:p w14:paraId="7417D43B" w14:textId="42E74E4A" w:rsidR="00D1508D" w:rsidRDefault="00D1508D" w:rsidP="00D1508D">
      <w:pPr>
        <w:pStyle w:val="Heading2"/>
      </w:pPr>
      <w:r>
        <w:t>Requirements Management System</w:t>
      </w:r>
    </w:p>
    <w:p w14:paraId="5135E287" w14:textId="688C2ED7" w:rsidR="00D1508D" w:rsidRDefault="00D1508D" w:rsidP="008A5143">
      <w:pPr>
        <w:spacing w:after="240"/>
        <w:jc w:val="both"/>
      </w:pPr>
      <w:r>
        <w:t xml:space="preserve">The </w:t>
      </w:r>
      <w:r w:rsidR="008A5143">
        <w:t xml:space="preserve">use of a requirements management system is critical to enable the traceability aspects of the </w:t>
      </w:r>
      <w:r w:rsidR="008A5143" w:rsidRPr="008A5143">
        <w:rPr>
          <w:b/>
          <w:bCs/>
        </w:rPr>
        <w:t>AVCDL</w:t>
      </w:r>
      <w:r>
        <w:t>.</w:t>
      </w:r>
      <w:r w:rsidR="008A5143">
        <w:t xml:space="preserve"> Not only is it used to hold the global cybersecurity requirements, but it also allows the derivation of product and element specific tailoring of this “master catalog.” Additionally, since cybersecurity requirements are non-functional, a requirements management system is necessary to handle the binding of these non-functional requirements to the product and element level functional requirements.</w:t>
      </w:r>
    </w:p>
    <w:p w14:paraId="0D89E0F3" w14:textId="7F87117A" w:rsidR="00D1508D" w:rsidRDefault="00D1508D" w:rsidP="00D1508D">
      <w:pPr>
        <w:pStyle w:val="Heading2"/>
      </w:pPr>
      <w:r>
        <w:t xml:space="preserve">Task / Issue </w:t>
      </w:r>
      <w:r w:rsidR="008A5143">
        <w:t xml:space="preserve">Tracking </w:t>
      </w:r>
      <w:r>
        <w:t>System</w:t>
      </w:r>
    </w:p>
    <w:p w14:paraId="7D878339" w14:textId="443654F0" w:rsidR="00D1508D" w:rsidRDefault="008A5143" w:rsidP="00A22BF7">
      <w:pPr>
        <w:spacing w:after="240"/>
        <w:jc w:val="both"/>
      </w:pPr>
      <w:r>
        <w:t>In conjunction with the requirements management system, the task / issue tracking system</w:t>
      </w:r>
      <w:r w:rsidR="00A22BF7">
        <w:t xml:space="preserve"> provides the product teams with a centralized means of implementing the activities called out in the </w:t>
      </w:r>
      <w:r w:rsidR="00A22BF7" w:rsidRPr="00A22BF7">
        <w:rPr>
          <w:b/>
          <w:bCs/>
        </w:rPr>
        <w:t>AVCDL</w:t>
      </w:r>
      <w:r w:rsidR="00D1508D">
        <w:t>.</w:t>
      </w:r>
      <w:r w:rsidR="00A22BF7">
        <w:t xml:space="preserve"> This system ties the requirements to the implementation and the tests needed for verification, as well as to the issues that arise from those tests. It also provides a mechanism for validating that all intended controls have been emplaced.</w:t>
      </w:r>
    </w:p>
    <w:p w14:paraId="5D6C0549" w14:textId="5CF8FF9A" w:rsidR="00D1508D" w:rsidRDefault="00D1508D" w:rsidP="00D1508D">
      <w:pPr>
        <w:pStyle w:val="Heading2"/>
      </w:pPr>
      <w:r>
        <w:t>Standardized Data Interchange Formats</w:t>
      </w:r>
    </w:p>
    <w:p w14:paraId="1413B344" w14:textId="7BA9C754" w:rsidR="00D1508D" w:rsidRDefault="00A22BF7" w:rsidP="005344B5">
      <w:pPr>
        <w:spacing w:after="240"/>
        <w:jc w:val="both"/>
      </w:pPr>
      <w:r>
        <w:t xml:space="preserve">Finally, the </w:t>
      </w:r>
      <w:r w:rsidRPr="005344B5">
        <w:rPr>
          <w:b/>
          <w:bCs/>
        </w:rPr>
        <w:t>AVCDL</w:t>
      </w:r>
      <w:r>
        <w:t xml:space="preserve"> prefers use of standardized data interchange formats such as </w:t>
      </w:r>
      <w:r w:rsidRPr="005344B5">
        <w:rPr>
          <w:b/>
          <w:bCs/>
        </w:rPr>
        <w:t>SARIF</w:t>
      </w:r>
      <w:r w:rsidR="00420DA0">
        <w:t xml:space="preserve"> </w:t>
      </w:r>
      <w:r w:rsidR="00420DA0" w:rsidRPr="00420DA0">
        <w:rPr>
          <w:b/>
          <w:bCs/>
          <w:color w:val="0070C0"/>
          <w:vertAlign w:val="superscript"/>
        </w:rPr>
        <w:t>[</w:t>
      </w:r>
      <w:r w:rsidR="00420DA0">
        <w:rPr>
          <w:b/>
          <w:bCs/>
          <w:color w:val="0070C0"/>
          <w:vertAlign w:val="superscript"/>
        </w:rPr>
        <w:t>4</w:t>
      </w:r>
      <w:r w:rsidR="00420DA0" w:rsidRPr="00420DA0">
        <w:rPr>
          <w:b/>
          <w:bCs/>
          <w:color w:val="0070C0"/>
          <w:vertAlign w:val="superscript"/>
        </w:rPr>
        <w:t>]</w:t>
      </w:r>
      <w:r>
        <w:t xml:space="preserve">, </w:t>
      </w:r>
      <w:r w:rsidRPr="005344B5">
        <w:rPr>
          <w:b/>
          <w:bCs/>
        </w:rPr>
        <w:t>SCAP</w:t>
      </w:r>
      <w:r w:rsidR="00420DA0">
        <w:t xml:space="preserve"> </w:t>
      </w:r>
      <w:r w:rsidR="00420DA0" w:rsidRPr="00420DA0">
        <w:rPr>
          <w:b/>
          <w:bCs/>
          <w:color w:val="0070C0"/>
          <w:vertAlign w:val="superscript"/>
        </w:rPr>
        <w:t>[</w:t>
      </w:r>
      <w:r w:rsidR="00420DA0">
        <w:rPr>
          <w:b/>
          <w:bCs/>
          <w:color w:val="0070C0"/>
          <w:vertAlign w:val="superscript"/>
        </w:rPr>
        <w:t>5</w:t>
      </w:r>
      <w:r w:rsidR="00420DA0" w:rsidRPr="00420DA0">
        <w:rPr>
          <w:b/>
          <w:bCs/>
          <w:color w:val="0070C0"/>
          <w:vertAlign w:val="superscript"/>
        </w:rPr>
        <w:t>]</w:t>
      </w:r>
      <w:r>
        <w:t>,</w:t>
      </w:r>
      <w:r w:rsidR="00420DA0">
        <w:t xml:space="preserve"> </w:t>
      </w:r>
      <w:r w:rsidR="00420DA0" w:rsidRPr="005344B5">
        <w:rPr>
          <w:b/>
          <w:bCs/>
        </w:rPr>
        <w:t>CSAF</w:t>
      </w:r>
      <w:r w:rsidR="00420DA0">
        <w:t xml:space="preserve"> </w:t>
      </w:r>
      <w:r w:rsidR="00420DA0" w:rsidRPr="00420DA0">
        <w:rPr>
          <w:b/>
          <w:bCs/>
          <w:color w:val="0070C0"/>
          <w:vertAlign w:val="superscript"/>
        </w:rPr>
        <w:t>[</w:t>
      </w:r>
      <w:r w:rsidR="00420DA0">
        <w:rPr>
          <w:b/>
          <w:bCs/>
          <w:color w:val="0070C0"/>
          <w:vertAlign w:val="superscript"/>
        </w:rPr>
        <w:t>6</w:t>
      </w:r>
      <w:r w:rsidR="00420DA0" w:rsidRPr="00420DA0">
        <w:rPr>
          <w:b/>
          <w:bCs/>
          <w:color w:val="0070C0"/>
          <w:vertAlign w:val="superscript"/>
        </w:rPr>
        <w:t>]</w:t>
      </w:r>
      <w:r w:rsidR="00420DA0">
        <w:t>,</w:t>
      </w:r>
      <w:r>
        <w:t xml:space="preserve"> and </w:t>
      </w:r>
      <w:r w:rsidR="00420DA0" w:rsidRPr="005344B5">
        <w:rPr>
          <w:b/>
          <w:bCs/>
        </w:rPr>
        <w:t>SPDX</w:t>
      </w:r>
      <w:r w:rsidR="00420DA0">
        <w:t xml:space="preserve"> </w:t>
      </w:r>
      <w:r w:rsidR="00420DA0" w:rsidRPr="00420DA0">
        <w:rPr>
          <w:b/>
          <w:bCs/>
          <w:color w:val="0070C0"/>
          <w:vertAlign w:val="superscript"/>
        </w:rPr>
        <w:t>[</w:t>
      </w:r>
      <w:r w:rsidR="00420DA0">
        <w:rPr>
          <w:b/>
          <w:bCs/>
          <w:color w:val="0070C0"/>
          <w:vertAlign w:val="superscript"/>
        </w:rPr>
        <w:t>7</w:t>
      </w:r>
      <w:r w:rsidR="00420DA0" w:rsidRPr="00420DA0">
        <w:rPr>
          <w:b/>
          <w:bCs/>
          <w:color w:val="0070C0"/>
          <w:vertAlign w:val="superscript"/>
        </w:rPr>
        <w:t>]</w:t>
      </w:r>
      <w:r w:rsidR="00D1508D">
        <w:t>.</w:t>
      </w:r>
      <w:r w:rsidR="00420DA0">
        <w:t xml:space="preserve"> The use of </w:t>
      </w:r>
      <w:r w:rsidR="005344B5">
        <w:t>standardized formats greatly reduces the likelihood that information is lost during communication between internal and external organizations such as suppliers and regulatory organizations.</w:t>
      </w:r>
    </w:p>
    <w:p w14:paraId="299715E3" w14:textId="77777777" w:rsidR="00193870" w:rsidRDefault="00193870" w:rsidP="006A35A0">
      <w:pPr>
        <w:spacing w:after="240"/>
        <w:jc w:val="both"/>
      </w:pPr>
    </w:p>
    <w:p w14:paraId="6E74C9C8" w14:textId="77777777" w:rsidR="006A35A0" w:rsidRDefault="006A35A0">
      <w:pPr>
        <w:rPr>
          <w:sz w:val="40"/>
          <w:szCs w:val="40"/>
        </w:rPr>
      </w:pPr>
      <w:r>
        <w:br w:type="page"/>
      </w:r>
    </w:p>
    <w:p w14:paraId="0000000C" w14:textId="7B8D153D" w:rsidR="00E27AF5" w:rsidRDefault="008C1D59">
      <w:pPr>
        <w:pStyle w:val="Heading1"/>
      </w:pPr>
      <w:r>
        <w:lastRenderedPageBreak/>
        <w:t>References</w:t>
      </w:r>
    </w:p>
    <w:p w14:paraId="0000000D" w14:textId="1D8629A0" w:rsidR="00E27AF5" w:rsidRPr="00083732" w:rsidRDefault="0082660E" w:rsidP="0082660E">
      <w:pPr>
        <w:pStyle w:val="ListParagraph"/>
        <w:numPr>
          <w:ilvl w:val="0"/>
          <w:numId w:val="2"/>
        </w:numPr>
        <w:rPr>
          <w:b/>
        </w:rPr>
      </w:pPr>
      <w:bookmarkStart w:id="7" w:name="ref_01"/>
      <w:bookmarkEnd w:id="7"/>
      <w:r w:rsidRPr="00AF509F">
        <w:rPr>
          <w:b/>
        </w:rPr>
        <w:t>AVCDL</w:t>
      </w:r>
      <w:r w:rsidRPr="0082660E">
        <w:rPr>
          <w:bCs/>
        </w:rPr>
        <w:t xml:space="preserve"> </w:t>
      </w:r>
      <w:r w:rsidR="00AF509F">
        <w:rPr>
          <w:bCs/>
        </w:rPr>
        <w:t xml:space="preserve">(AVCDL </w:t>
      </w:r>
      <w:r w:rsidRPr="0082660E">
        <w:rPr>
          <w:bCs/>
        </w:rPr>
        <w:t>primary document)</w:t>
      </w:r>
    </w:p>
    <w:p w14:paraId="2D48BF7C" w14:textId="3BCCA6B1" w:rsidR="000E6FDE" w:rsidRPr="008770D0" w:rsidRDefault="00913C8C" w:rsidP="0082660E">
      <w:pPr>
        <w:pStyle w:val="ListParagraph"/>
        <w:numPr>
          <w:ilvl w:val="0"/>
          <w:numId w:val="2"/>
        </w:numPr>
        <w:rPr>
          <w:bCs/>
        </w:rPr>
      </w:pPr>
      <w:r>
        <w:rPr>
          <w:b/>
          <w:bCs/>
        </w:rPr>
        <w:t xml:space="preserve">Threat Prioritization </w:t>
      </w:r>
      <w:r w:rsidR="00636EE1">
        <w:rPr>
          <w:b/>
          <w:bCs/>
        </w:rPr>
        <w:t>Plan</w:t>
      </w:r>
      <w:r>
        <w:t xml:space="preserve"> (</w:t>
      </w:r>
      <w:r w:rsidRPr="005C5920">
        <w:t>AVCDL</w:t>
      </w:r>
      <w:r>
        <w:t xml:space="preserve"> secondary document)</w:t>
      </w:r>
      <w:r w:rsidR="004D1E0B" w:rsidRPr="002D4E2F">
        <w:rPr>
          <w:sz w:val="20"/>
          <w:szCs w:val="20"/>
        </w:rPr>
        <w:t xml:space="preserve"> </w:t>
      </w:r>
    </w:p>
    <w:p w14:paraId="3523ACA4" w14:textId="01724BC6" w:rsidR="008770D0" w:rsidRPr="00420DA0" w:rsidRDefault="008770D0" w:rsidP="0082660E">
      <w:pPr>
        <w:pStyle w:val="ListParagraph"/>
        <w:numPr>
          <w:ilvl w:val="0"/>
          <w:numId w:val="2"/>
        </w:numPr>
        <w:rPr>
          <w:bCs/>
        </w:rPr>
      </w:pPr>
      <w:r w:rsidRPr="008770D0">
        <w:rPr>
          <w:rStyle w:val="Hyperlink"/>
          <w:b/>
          <w:color w:val="auto"/>
          <w:u w:val="none"/>
        </w:rPr>
        <w:t>Understanding Workflow Graphs</w:t>
      </w:r>
      <w:r>
        <w:rPr>
          <w:rStyle w:val="Hyperlink"/>
          <w:bCs/>
          <w:color w:val="auto"/>
          <w:u w:val="none"/>
        </w:rPr>
        <w:t xml:space="preserve"> </w:t>
      </w:r>
      <w:r>
        <w:t>(</w:t>
      </w:r>
      <w:r w:rsidRPr="005C5920">
        <w:t>AVCDL</w:t>
      </w:r>
      <w:r>
        <w:t xml:space="preserve"> elaboration document)</w:t>
      </w:r>
    </w:p>
    <w:p w14:paraId="3AE52268" w14:textId="77777777" w:rsidR="00420DA0" w:rsidRPr="0042531C" w:rsidRDefault="00420DA0" w:rsidP="00420DA0">
      <w:pPr>
        <w:pStyle w:val="ListParagraph"/>
        <w:numPr>
          <w:ilvl w:val="0"/>
          <w:numId w:val="2"/>
        </w:numPr>
        <w:rPr>
          <w:color w:val="000000" w:themeColor="text1"/>
        </w:rPr>
      </w:pPr>
      <w:r>
        <w:rPr>
          <w:b/>
          <w:bCs/>
          <w:color w:val="000000" w:themeColor="text1"/>
        </w:rPr>
        <w:t>Static Analysis Results Interchange Format (SARIF) Version 2.1.0</w:t>
      </w:r>
      <w:r>
        <w:rPr>
          <w:color w:val="000000" w:themeColor="text1"/>
        </w:rPr>
        <w:br/>
      </w:r>
      <w:hyperlink r:id="rId26" w:history="1">
        <w:r w:rsidRPr="00FE6B19">
          <w:rPr>
            <w:rStyle w:val="Hyperlink"/>
          </w:rPr>
          <w:t>https://docs.oasis-open.org/sarif/sarif/v2.1.0/os/sarif-v2.1.0-os.pdf</w:t>
        </w:r>
      </w:hyperlink>
    </w:p>
    <w:p w14:paraId="3F81F1A5" w14:textId="77777777" w:rsidR="00420DA0" w:rsidRDefault="00420DA0" w:rsidP="00420DA0">
      <w:pPr>
        <w:numPr>
          <w:ilvl w:val="0"/>
          <w:numId w:val="2"/>
        </w:numPr>
        <w:rPr>
          <w:b/>
        </w:rPr>
      </w:pPr>
      <w:r>
        <w:rPr>
          <w:b/>
        </w:rPr>
        <w:t>NIST SP800-126r3 The Technical Specification for the Security Content Automation Protocol (SCAP) v1.3</w:t>
      </w:r>
      <w:r>
        <w:rPr>
          <w:b/>
        </w:rPr>
        <w:br/>
      </w:r>
      <w:hyperlink r:id="rId27" w:history="1">
        <w:r w:rsidRPr="00F315EE">
          <w:rPr>
            <w:rStyle w:val="Hyperlink"/>
            <w:rFonts w:ascii="Courier New" w:hAnsi="Courier New" w:cs="Courier New"/>
            <w:b/>
          </w:rPr>
          <w:t>https://nvlpubs.nist.gov/nistpubs/SpecialPublications/NIST.SP.800-126r3.pdf</w:t>
        </w:r>
      </w:hyperlink>
      <w:r>
        <w:rPr>
          <w:b/>
        </w:rPr>
        <w:t xml:space="preserve"> </w:t>
      </w:r>
    </w:p>
    <w:p w14:paraId="06C1535D" w14:textId="77777777" w:rsidR="00420DA0" w:rsidRPr="00777C20" w:rsidRDefault="00420DA0" w:rsidP="00420DA0">
      <w:pPr>
        <w:numPr>
          <w:ilvl w:val="0"/>
          <w:numId w:val="2"/>
        </w:numPr>
        <w:rPr>
          <w:b/>
          <w:bCs/>
          <w:lang w:val="en-US"/>
        </w:rPr>
      </w:pPr>
      <w:r w:rsidRPr="00777C20">
        <w:rPr>
          <w:b/>
          <w:bCs/>
          <w:lang w:val="en-US"/>
        </w:rPr>
        <w:t>OASIS Common Security Advisory Framework (CSAF)</w:t>
      </w:r>
      <w:r>
        <w:rPr>
          <w:b/>
          <w:bCs/>
          <w:lang w:val="en-US"/>
        </w:rPr>
        <w:br/>
      </w:r>
      <w:r w:rsidRPr="00777C20">
        <w:rPr>
          <w:b/>
          <w:bCs/>
          <w:lang w:val="en-US"/>
        </w:rPr>
        <w:t xml:space="preserve"> </w:t>
      </w:r>
      <w:hyperlink r:id="rId28" w:history="1">
        <w:r w:rsidRPr="00777C20">
          <w:rPr>
            <w:rStyle w:val="Hyperlink"/>
            <w:rFonts w:ascii="Courier New" w:hAnsi="Courier New" w:cs="Courier New"/>
            <w:b/>
            <w:bCs/>
          </w:rPr>
          <w:t>https://oasis-open.github.io/csaf-documentation/</w:t>
        </w:r>
      </w:hyperlink>
      <w:r w:rsidRPr="00777C20">
        <w:rPr>
          <w:rFonts w:ascii="Courier New" w:hAnsi="Courier New" w:cs="Courier New"/>
          <w:b/>
          <w:bCs/>
        </w:rPr>
        <w:t xml:space="preserve"> </w:t>
      </w:r>
    </w:p>
    <w:p w14:paraId="461A3D4E" w14:textId="77777777" w:rsidR="00420DA0" w:rsidRPr="002609BB" w:rsidRDefault="00420DA0" w:rsidP="00420DA0">
      <w:pPr>
        <w:numPr>
          <w:ilvl w:val="0"/>
          <w:numId w:val="2"/>
        </w:numPr>
      </w:pPr>
      <w:r w:rsidRPr="002609BB">
        <w:rPr>
          <w:b/>
          <w:bCs/>
        </w:rPr>
        <w:t>Software Package Data Exchange® (SPDX®)</w:t>
      </w:r>
      <w:r w:rsidRPr="0043029A">
        <w:br/>
      </w:r>
      <w:hyperlink r:id="rId29" w:history="1">
        <w:r w:rsidRPr="00A40872">
          <w:rPr>
            <w:rStyle w:val="Hyperlink"/>
          </w:rPr>
          <w:t>https://spdx.dev/wp-content/uploads/sites/41/2017/12/spdxversion2.1.pdf</w:t>
        </w:r>
      </w:hyperlink>
    </w:p>
    <w:p w14:paraId="18D19245" w14:textId="6AD289BD" w:rsidR="00420DA0" w:rsidRPr="007B31FC" w:rsidRDefault="005344B5" w:rsidP="007B31FC">
      <w:pPr>
        <w:pStyle w:val="ListParagraph"/>
        <w:numPr>
          <w:ilvl w:val="0"/>
          <w:numId w:val="2"/>
        </w:numPr>
        <w:rPr>
          <w:rStyle w:val="Hyperlink"/>
          <w:bCs/>
          <w:color w:val="auto"/>
          <w:u w:val="none"/>
        </w:rPr>
      </w:pPr>
      <w:r>
        <w:rPr>
          <w:rStyle w:val="Hyperlink"/>
          <w:b/>
          <w:color w:val="auto"/>
          <w:u w:val="none"/>
        </w:rPr>
        <w:t>Software Bill of Materials Lifecycle</w:t>
      </w:r>
      <w:r>
        <w:rPr>
          <w:rStyle w:val="Hyperlink"/>
          <w:bCs/>
          <w:color w:val="auto"/>
          <w:u w:val="none"/>
        </w:rPr>
        <w:t xml:space="preserve"> </w:t>
      </w:r>
      <w:r>
        <w:t>(</w:t>
      </w:r>
      <w:r w:rsidRPr="005C5920">
        <w:t>AVCDL</w:t>
      </w:r>
      <w:r>
        <w:t xml:space="preserve"> elaboration document)</w:t>
      </w:r>
    </w:p>
    <w:p w14:paraId="097EB14C" w14:textId="77777777" w:rsidR="000E6FDE" w:rsidRPr="000E6FDE" w:rsidRDefault="000E6FDE" w:rsidP="000E6FDE">
      <w:pPr>
        <w:rPr>
          <w:rStyle w:val="Hyperlink"/>
          <w:b/>
          <w:color w:val="auto"/>
          <w:u w:val="none"/>
        </w:rPr>
      </w:pPr>
    </w:p>
    <w:p w14:paraId="2172A271" w14:textId="77777777" w:rsidR="00FE39EB" w:rsidRPr="006265EC" w:rsidRDefault="00FE39EB" w:rsidP="006265EC">
      <w:pPr>
        <w:jc w:val="both"/>
        <w:rPr>
          <w:b/>
        </w:rPr>
      </w:pPr>
    </w:p>
    <w:p w14:paraId="0000000E" w14:textId="77777777" w:rsidR="00E27AF5" w:rsidRDefault="00E27AF5"/>
    <w:p w14:paraId="0000000F" w14:textId="77777777" w:rsidR="00E27AF5" w:rsidRDefault="00E27AF5"/>
    <w:sectPr w:rsidR="00E27AF5" w:rsidSect="00C47685">
      <w:footerReference w:type="even" r:id="rId30"/>
      <w:footerReference w:type="default" r:id="rId3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F09906" w14:textId="77777777" w:rsidR="00C47685" w:rsidRDefault="00C47685" w:rsidP="004834EE">
      <w:pPr>
        <w:spacing w:line="240" w:lineRule="auto"/>
      </w:pPr>
      <w:r>
        <w:separator/>
      </w:r>
    </w:p>
  </w:endnote>
  <w:endnote w:type="continuationSeparator" w:id="0">
    <w:p w14:paraId="6282CECB" w14:textId="77777777" w:rsidR="00C47685" w:rsidRDefault="00C47685" w:rsidP="004834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22102093"/>
      <w:docPartObj>
        <w:docPartGallery w:val="Page Numbers (Bottom of Page)"/>
        <w:docPartUnique/>
      </w:docPartObj>
    </w:sdtPr>
    <w:sdtContent>
      <w:p w14:paraId="0B79F028" w14:textId="50033A78" w:rsidR="00CF11C5" w:rsidRDefault="00CF11C5" w:rsidP="00AF509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A55CC0" w14:textId="77777777" w:rsidR="00CF11C5" w:rsidRDefault="00CF11C5" w:rsidP="004834E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7018151"/>
      <w:docPartObj>
        <w:docPartGallery w:val="Page Numbers (Bottom of Page)"/>
        <w:docPartUnique/>
      </w:docPartObj>
    </w:sdtPr>
    <w:sdtContent>
      <w:p w14:paraId="4EC99C88" w14:textId="67EAE81D" w:rsidR="00CF11C5" w:rsidRDefault="00CF11C5" w:rsidP="00AF509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5FF8427" w14:textId="77777777" w:rsidR="00CF11C5" w:rsidRDefault="00CF11C5" w:rsidP="004834E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D0F97E" w14:textId="77777777" w:rsidR="00C47685" w:rsidRDefault="00C47685" w:rsidP="004834EE">
      <w:pPr>
        <w:spacing w:line="240" w:lineRule="auto"/>
      </w:pPr>
      <w:r>
        <w:separator/>
      </w:r>
    </w:p>
  </w:footnote>
  <w:footnote w:type="continuationSeparator" w:id="0">
    <w:p w14:paraId="21EBF006" w14:textId="77777777" w:rsidR="00C47685" w:rsidRDefault="00C47685" w:rsidP="004834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815EA"/>
    <w:multiLevelType w:val="multilevel"/>
    <w:tmpl w:val="D1FC5A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5E51BF0"/>
    <w:multiLevelType w:val="hybridMultilevel"/>
    <w:tmpl w:val="E32A7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4F5736"/>
    <w:multiLevelType w:val="hybridMultilevel"/>
    <w:tmpl w:val="DE283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2A7E71"/>
    <w:multiLevelType w:val="hybridMultilevel"/>
    <w:tmpl w:val="FC4A286A"/>
    <w:lvl w:ilvl="0" w:tplc="F86C126A">
      <w:start w:val="1"/>
      <w:numFmt w:val="bullet"/>
      <w:lvlText w:val="ü"/>
      <w:lvlJc w:val="left"/>
      <w:pPr>
        <w:tabs>
          <w:tab w:val="num" w:pos="720"/>
        </w:tabs>
        <w:ind w:left="720" w:hanging="360"/>
      </w:pPr>
      <w:rPr>
        <w:rFonts w:ascii="Wingdings" w:hAnsi="Wingdings" w:hint="default"/>
      </w:rPr>
    </w:lvl>
    <w:lvl w:ilvl="1" w:tplc="F4D4346C" w:tentative="1">
      <w:start w:val="1"/>
      <w:numFmt w:val="bullet"/>
      <w:lvlText w:val="ü"/>
      <w:lvlJc w:val="left"/>
      <w:pPr>
        <w:tabs>
          <w:tab w:val="num" w:pos="1440"/>
        </w:tabs>
        <w:ind w:left="1440" w:hanging="360"/>
      </w:pPr>
      <w:rPr>
        <w:rFonts w:ascii="Wingdings" w:hAnsi="Wingdings" w:hint="default"/>
      </w:rPr>
    </w:lvl>
    <w:lvl w:ilvl="2" w:tplc="6672868E" w:tentative="1">
      <w:start w:val="1"/>
      <w:numFmt w:val="bullet"/>
      <w:lvlText w:val="ü"/>
      <w:lvlJc w:val="left"/>
      <w:pPr>
        <w:tabs>
          <w:tab w:val="num" w:pos="2160"/>
        </w:tabs>
        <w:ind w:left="2160" w:hanging="360"/>
      </w:pPr>
      <w:rPr>
        <w:rFonts w:ascii="Wingdings" w:hAnsi="Wingdings" w:hint="default"/>
      </w:rPr>
    </w:lvl>
    <w:lvl w:ilvl="3" w:tplc="5532DD74" w:tentative="1">
      <w:start w:val="1"/>
      <w:numFmt w:val="bullet"/>
      <w:lvlText w:val="ü"/>
      <w:lvlJc w:val="left"/>
      <w:pPr>
        <w:tabs>
          <w:tab w:val="num" w:pos="2880"/>
        </w:tabs>
        <w:ind w:left="2880" w:hanging="360"/>
      </w:pPr>
      <w:rPr>
        <w:rFonts w:ascii="Wingdings" w:hAnsi="Wingdings" w:hint="default"/>
      </w:rPr>
    </w:lvl>
    <w:lvl w:ilvl="4" w:tplc="564AE3D2" w:tentative="1">
      <w:start w:val="1"/>
      <w:numFmt w:val="bullet"/>
      <w:lvlText w:val="ü"/>
      <w:lvlJc w:val="left"/>
      <w:pPr>
        <w:tabs>
          <w:tab w:val="num" w:pos="3600"/>
        </w:tabs>
        <w:ind w:left="3600" w:hanging="360"/>
      </w:pPr>
      <w:rPr>
        <w:rFonts w:ascii="Wingdings" w:hAnsi="Wingdings" w:hint="default"/>
      </w:rPr>
    </w:lvl>
    <w:lvl w:ilvl="5" w:tplc="85800E70" w:tentative="1">
      <w:start w:val="1"/>
      <w:numFmt w:val="bullet"/>
      <w:lvlText w:val="ü"/>
      <w:lvlJc w:val="left"/>
      <w:pPr>
        <w:tabs>
          <w:tab w:val="num" w:pos="4320"/>
        </w:tabs>
        <w:ind w:left="4320" w:hanging="360"/>
      </w:pPr>
      <w:rPr>
        <w:rFonts w:ascii="Wingdings" w:hAnsi="Wingdings" w:hint="default"/>
      </w:rPr>
    </w:lvl>
    <w:lvl w:ilvl="6" w:tplc="65003504" w:tentative="1">
      <w:start w:val="1"/>
      <w:numFmt w:val="bullet"/>
      <w:lvlText w:val="ü"/>
      <w:lvlJc w:val="left"/>
      <w:pPr>
        <w:tabs>
          <w:tab w:val="num" w:pos="5040"/>
        </w:tabs>
        <w:ind w:left="5040" w:hanging="360"/>
      </w:pPr>
      <w:rPr>
        <w:rFonts w:ascii="Wingdings" w:hAnsi="Wingdings" w:hint="default"/>
      </w:rPr>
    </w:lvl>
    <w:lvl w:ilvl="7" w:tplc="6BF02F42" w:tentative="1">
      <w:start w:val="1"/>
      <w:numFmt w:val="bullet"/>
      <w:lvlText w:val="ü"/>
      <w:lvlJc w:val="left"/>
      <w:pPr>
        <w:tabs>
          <w:tab w:val="num" w:pos="5760"/>
        </w:tabs>
        <w:ind w:left="5760" w:hanging="360"/>
      </w:pPr>
      <w:rPr>
        <w:rFonts w:ascii="Wingdings" w:hAnsi="Wingdings" w:hint="default"/>
      </w:rPr>
    </w:lvl>
    <w:lvl w:ilvl="8" w:tplc="6562D364" w:tentative="1">
      <w:start w:val="1"/>
      <w:numFmt w:val="bullet"/>
      <w:lvlText w:val="ü"/>
      <w:lvlJc w:val="left"/>
      <w:pPr>
        <w:tabs>
          <w:tab w:val="num" w:pos="6480"/>
        </w:tabs>
        <w:ind w:left="6480" w:hanging="360"/>
      </w:pPr>
      <w:rPr>
        <w:rFonts w:ascii="Wingdings" w:hAnsi="Wingdings" w:hint="default"/>
      </w:rPr>
    </w:lvl>
  </w:abstractNum>
  <w:abstractNum w:abstractNumId="4" w15:restartNumberingAfterBreak="0">
    <w:nsid w:val="26D27A3B"/>
    <w:multiLevelType w:val="hybridMultilevel"/>
    <w:tmpl w:val="FA7621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C9C21C7"/>
    <w:multiLevelType w:val="hybridMultilevel"/>
    <w:tmpl w:val="F9D4D6A8"/>
    <w:lvl w:ilvl="0" w:tplc="A1944D06">
      <w:start w:val="1"/>
      <w:numFmt w:val="bullet"/>
      <w:lvlText w:val="û"/>
      <w:lvlJc w:val="left"/>
      <w:pPr>
        <w:tabs>
          <w:tab w:val="num" w:pos="720"/>
        </w:tabs>
        <w:ind w:left="720" w:hanging="360"/>
      </w:pPr>
      <w:rPr>
        <w:rFonts w:ascii="Wingdings" w:hAnsi="Wingdings" w:hint="default"/>
      </w:rPr>
    </w:lvl>
    <w:lvl w:ilvl="1" w:tplc="42A07050" w:tentative="1">
      <w:start w:val="1"/>
      <w:numFmt w:val="bullet"/>
      <w:lvlText w:val="û"/>
      <w:lvlJc w:val="left"/>
      <w:pPr>
        <w:tabs>
          <w:tab w:val="num" w:pos="1440"/>
        </w:tabs>
        <w:ind w:left="1440" w:hanging="360"/>
      </w:pPr>
      <w:rPr>
        <w:rFonts w:ascii="Wingdings" w:hAnsi="Wingdings" w:hint="default"/>
      </w:rPr>
    </w:lvl>
    <w:lvl w:ilvl="2" w:tplc="2EAE399E" w:tentative="1">
      <w:start w:val="1"/>
      <w:numFmt w:val="bullet"/>
      <w:lvlText w:val="û"/>
      <w:lvlJc w:val="left"/>
      <w:pPr>
        <w:tabs>
          <w:tab w:val="num" w:pos="2160"/>
        </w:tabs>
        <w:ind w:left="2160" w:hanging="360"/>
      </w:pPr>
      <w:rPr>
        <w:rFonts w:ascii="Wingdings" w:hAnsi="Wingdings" w:hint="default"/>
      </w:rPr>
    </w:lvl>
    <w:lvl w:ilvl="3" w:tplc="F4F89838" w:tentative="1">
      <w:start w:val="1"/>
      <w:numFmt w:val="bullet"/>
      <w:lvlText w:val="û"/>
      <w:lvlJc w:val="left"/>
      <w:pPr>
        <w:tabs>
          <w:tab w:val="num" w:pos="2880"/>
        </w:tabs>
        <w:ind w:left="2880" w:hanging="360"/>
      </w:pPr>
      <w:rPr>
        <w:rFonts w:ascii="Wingdings" w:hAnsi="Wingdings" w:hint="default"/>
      </w:rPr>
    </w:lvl>
    <w:lvl w:ilvl="4" w:tplc="479EEB68" w:tentative="1">
      <w:start w:val="1"/>
      <w:numFmt w:val="bullet"/>
      <w:lvlText w:val="û"/>
      <w:lvlJc w:val="left"/>
      <w:pPr>
        <w:tabs>
          <w:tab w:val="num" w:pos="3600"/>
        </w:tabs>
        <w:ind w:left="3600" w:hanging="360"/>
      </w:pPr>
      <w:rPr>
        <w:rFonts w:ascii="Wingdings" w:hAnsi="Wingdings" w:hint="default"/>
      </w:rPr>
    </w:lvl>
    <w:lvl w:ilvl="5" w:tplc="9F1805FA" w:tentative="1">
      <w:start w:val="1"/>
      <w:numFmt w:val="bullet"/>
      <w:lvlText w:val="û"/>
      <w:lvlJc w:val="left"/>
      <w:pPr>
        <w:tabs>
          <w:tab w:val="num" w:pos="4320"/>
        </w:tabs>
        <w:ind w:left="4320" w:hanging="360"/>
      </w:pPr>
      <w:rPr>
        <w:rFonts w:ascii="Wingdings" w:hAnsi="Wingdings" w:hint="default"/>
      </w:rPr>
    </w:lvl>
    <w:lvl w:ilvl="6" w:tplc="96746016" w:tentative="1">
      <w:start w:val="1"/>
      <w:numFmt w:val="bullet"/>
      <w:lvlText w:val="û"/>
      <w:lvlJc w:val="left"/>
      <w:pPr>
        <w:tabs>
          <w:tab w:val="num" w:pos="5040"/>
        </w:tabs>
        <w:ind w:left="5040" w:hanging="360"/>
      </w:pPr>
      <w:rPr>
        <w:rFonts w:ascii="Wingdings" w:hAnsi="Wingdings" w:hint="default"/>
      </w:rPr>
    </w:lvl>
    <w:lvl w:ilvl="7" w:tplc="AB148A4E" w:tentative="1">
      <w:start w:val="1"/>
      <w:numFmt w:val="bullet"/>
      <w:lvlText w:val="û"/>
      <w:lvlJc w:val="left"/>
      <w:pPr>
        <w:tabs>
          <w:tab w:val="num" w:pos="5760"/>
        </w:tabs>
        <w:ind w:left="5760" w:hanging="360"/>
      </w:pPr>
      <w:rPr>
        <w:rFonts w:ascii="Wingdings" w:hAnsi="Wingdings" w:hint="default"/>
      </w:rPr>
    </w:lvl>
    <w:lvl w:ilvl="8" w:tplc="60C026FE" w:tentative="1">
      <w:start w:val="1"/>
      <w:numFmt w:val="bullet"/>
      <w:lvlText w:val="û"/>
      <w:lvlJc w:val="left"/>
      <w:pPr>
        <w:tabs>
          <w:tab w:val="num" w:pos="6480"/>
        </w:tabs>
        <w:ind w:left="6480" w:hanging="360"/>
      </w:pPr>
      <w:rPr>
        <w:rFonts w:ascii="Wingdings" w:hAnsi="Wingdings" w:hint="default"/>
      </w:rPr>
    </w:lvl>
  </w:abstractNum>
  <w:abstractNum w:abstractNumId="6" w15:restartNumberingAfterBreak="0">
    <w:nsid w:val="2ECF6E21"/>
    <w:multiLevelType w:val="hybridMultilevel"/>
    <w:tmpl w:val="7DA0E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564101"/>
    <w:multiLevelType w:val="hybridMultilevel"/>
    <w:tmpl w:val="F4889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2B0D07"/>
    <w:multiLevelType w:val="hybridMultilevel"/>
    <w:tmpl w:val="D2827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4764E1"/>
    <w:multiLevelType w:val="multilevel"/>
    <w:tmpl w:val="8C9834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C525342"/>
    <w:multiLevelType w:val="hybridMultilevel"/>
    <w:tmpl w:val="8242A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9E4FE3"/>
    <w:multiLevelType w:val="multilevel"/>
    <w:tmpl w:val="DBE0B9CC"/>
    <w:lvl w:ilvl="0">
      <w:start w:val="1"/>
      <w:numFmt w:val="decimal"/>
      <w:lvlText w:val="%1."/>
      <w:lvlJc w:val="left"/>
      <w:pPr>
        <w:tabs>
          <w:tab w:val="num" w:pos="822"/>
        </w:tabs>
        <w:ind w:left="822" w:hanging="360"/>
      </w:pPr>
    </w:lvl>
    <w:lvl w:ilvl="1">
      <w:start w:val="1"/>
      <w:numFmt w:val="decimal"/>
      <w:lvlText w:val="%2."/>
      <w:lvlJc w:val="left"/>
      <w:pPr>
        <w:tabs>
          <w:tab w:val="num" w:pos="1182"/>
        </w:tabs>
        <w:ind w:left="1182" w:hanging="360"/>
      </w:pPr>
    </w:lvl>
    <w:lvl w:ilvl="2">
      <w:start w:val="1"/>
      <w:numFmt w:val="decimal"/>
      <w:lvlText w:val="%3."/>
      <w:lvlJc w:val="left"/>
      <w:pPr>
        <w:tabs>
          <w:tab w:val="num" w:pos="1542"/>
        </w:tabs>
        <w:ind w:left="1542" w:hanging="360"/>
      </w:pPr>
    </w:lvl>
    <w:lvl w:ilvl="3">
      <w:start w:val="1"/>
      <w:numFmt w:val="decimal"/>
      <w:lvlText w:val="%4."/>
      <w:lvlJc w:val="left"/>
      <w:pPr>
        <w:tabs>
          <w:tab w:val="num" w:pos="1902"/>
        </w:tabs>
        <w:ind w:left="1902" w:hanging="360"/>
      </w:pPr>
    </w:lvl>
    <w:lvl w:ilvl="4">
      <w:start w:val="1"/>
      <w:numFmt w:val="decimal"/>
      <w:lvlText w:val="%5."/>
      <w:lvlJc w:val="left"/>
      <w:pPr>
        <w:tabs>
          <w:tab w:val="num" w:pos="2262"/>
        </w:tabs>
        <w:ind w:left="2262" w:hanging="360"/>
      </w:pPr>
    </w:lvl>
    <w:lvl w:ilvl="5">
      <w:start w:val="1"/>
      <w:numFmt w:val="decimal"/>
      <w:lvlText w:val="%6."/>
      <w:lvlJc w:val="left"/>
      <w:pPr>
        <w:tabs>
          <w:tab w:val="num" w:pos="2622"/>
        </w:tabs>
        <w:ind w:left="2622" w:hanging="360"/>
      </w:pPr>
    </w:lvl>
    <w:lvl w:ilvl="6">
      <w:start w:val="1"/>
      <w:numFmt w:val="decimal"/>
      <w:lvlText w:val="%7."/>
      <w:lvlJc w:val="left"/>
      <w:pPr>
        <w:tabs>
          <w:tab w:val="num" w:pos="2982"/>
        </w:tabs>
        <w:ind w:left="2982" w:hanging="360"/>
      </w:pPr>
    </w:lvl>
    <w:lvl w:ilvl="7">
      <w:start w:val="1"/>
      <w:numFmt w:val="decimal"/>
      <w:lvlText w:val="%8."/>
      <w:lvlJc w:val="left"/>
      <w:pPr>
        <w:tabs>
          <w:tab w:val="num" w:pos="3342"/>
        </w:tabs>
        <w:ind w:left="3342" w:hanging="360"/>
      </w:pPr>
    </w:lvl>
    <w:lvl w:ilvl="8">
      <w:start w:val="1"/>
      <w:numFmt w:val="decimal"/>
      <w:lvlText w:val="%9."/>
      <w:lvlJc w:val="left"/>
      <w:pPr>
        <w:tabs>
          <w:tab w:val="num" w:pos="3702"/>
        </w:tabs>
        <w:ind w:left="3702" w:hanging="360"/>
      </w:pPr>
    </w:lvl>
  </w:abstractNum>
  <w:abstractNum w:abstractNumId="12" w15:restartNumberingAfterBreak="0">
    <w:nsid w:val="478C08FA"/>
    <w:multiLevelType w:val="hybridMultilevel"/>
    <w:tmpl w:val="013CA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5B22C7"/>
    <w:multiLevelType w:val="hybridMultilevel"/>
    <w:tmpl w:val="D6647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FF2F4D"/>
    <w:multiLevelType w:val="hybridMultilevel"/>
    <w:tmpl w:val="C5BEA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806459"/>
    <w:multiLevelType w:val="hybridMultilevel"/>
    <w:tmpl w:val="D3527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F37D63"/>
    <w:multiLevelType w:val="hybridMultilevel"/>
    <w:tmpl w:val="3A0E9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885023"/>
    <w:multiLevelType w:val="hybridMultilevel"/>
    <w:tmpl w:val="093EF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7402D9"/>
    <w:multiLevelType w:val="hybridMultilevel"/>
    <w:tmpl w:val="F782D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400E2A"/>
    <w:multiLevelType w:val="hybridMultilevel"/>
    <w:tmpl w:val="293C2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0690563">
    <w:abstractNumId w:val="0"/>
  </w:num>
  <w:num w:numId="2" w16cid:durableId="1064572936">
    <w:abstractNumId w:val="4"/>
  </w:num>
  <w:num w:numId="3" w16cid:durableId="223377791">
    <w:abstractNumId w:val="1"/>
  </w:num>
  <w:num w:numId="4" w16cid:durableId="1792941671">
    <w:abstractNumId w:val="7"/>
  </w:num>
  <w:num w:numId="5" w16cid:durableId="1396009784">
    <w:abstractNumId w:val="12"/>
  </w:num>
  <w:num w:numId="6" w16cid:durableId="1372339341">
    <w:abstractNumId w:val="10"/>
  </w:num>
  <w:num w:numId="7" w16cid:durableId="963652466">
    <w:abstractNumId w:val="16"/>
  </w:num>
  <w:num w:numId="8" w16cid:durableId="1110592592">
    <w:abstractNumId w:val="14"/>
  </w:num>
  <w:num w:numId="9" w16cid:durableId="194009062">
    <w:abstractNumId w:val="2"/>
  </w:num>
  <w:num w:numId="10" w16cid:durableId="1951037963">
    <w:abstractNumId w:val="13"/>
  </w:num>
  <w:num w:numId="11" w16cid:durableId="840662192">
    <w:abstractNumId w:val="18"/>
  </w:num>
  <w:num w:numId="12" w16cid:durableId="2100321258">
    <w:abstractNumId w:val="8"/>
  </w:num>
  <w:num w:numId="13" w16cid:durableId="1158694168">
    <w:abstractNumId w:val="15"/>
  </w:num>
  <w:num w:numId="14" w16cid:durableId="767890877">
    <w:abstractNumId w:val="17"/>
  </w:num>
  <w:num w:numId="15" w16cid:durableId="1141994062">
    <w:abstractNumId w:val="3"/>
  </w:num>
  <w:num w:numId="16" w16cid:durableId="2071993872">
    <w:abstractNumId w:val="5"/>
  </w:num>
  <w:num w:numId="17" w16cid:durableId="2012566033">
    <w:abstractNumId w:val="6"/>
  </w:num>
  <w:num w:numId="18" w16cid:durableId="1788692530">
    <w:abstractNumId w:val="19"/>
  </w:num>
  <w:num w:numId="19" w16cid:durableId="1835031346">
    <w:abstractNumId w:val="11"/>
  </w:num>
  <w:num w:numId="20" w16cid:durableId="19334429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7AF5"/>
    <w:rsid w:val="00007B2C"/>
    <w:rsid w:val="0001151F"/>
    <w:rsid w:val="00015CDB"/>
    <w:rsid w:val="000452AE"/>
    <w:rsid w:val="0005191B"/>
    <w:rsid w:val="00060EB8"/>
    <w:rsid w:val="000612AD"/>
    <w:rsid w:val="00075464"/>
    <w:rsid w:val="00083732"/>
    <w:rsid w:val="00087E91"/>
    <w:rsid w:val="00094DFA"/>
    <w:rsid w:val="000A4939"/>
    <w:rsid w:val="000D50B9"/>
    <w:rsid w:val="000E6FDE"/>
    <w:rsid w:val="000E70FC"/>
    <w:rsid w:val="000F107C"/>
    <w:rsid w:val="001024DC"/>
    <w:rsid w:val="00106DBB"/>
    <w:rsid w:val="00114B15"/>
    <w:rsid w:val="00115BDF"/>
    <w:rsid w:val="00120958"/>
    <w:rsid w:val="001212FB"/>
    <w:rsid w:val="00122EB1"/>
    <w:rsid w:val="00126F86"/>
    <w:rsid w:val="001456B7"/>
    <w:rsid w:val="00152F71"/>
    <w:rsid w:val="00157EC2"/>
    <w:rsid w:val="00173CC3"/>
    <w:rsid w:val="001741D1"/>
    <w:rsid w:val="00192E6C"/>
    <w:rsid w:val="00193870"/>
    <w:rsid w:val="001973EC"/>
    <w:rsid w:val="0019741F"/>
    <w:rsid w:val="001A1F02"/>
    <w:rsid w:val="001A2DB9"/>
    <w:rsid w:val="001A42FB"/>
    <w:rsid w:val="001A4BC2"/>
    <w:rsid w:val="001B062D"/>
    <w:rsid w:val="001B07A4"/>
    <w:rsid w:val="001B0AF2"/>
    <w:rsid w:val="001D3973"/>
    <w:rsid w:val="001E14FD"/>
    <w:rsid w:val="001F0E10"/>
    <w:rsid w:val="001F2EC0"/>
    <w:rsid w:val="0020480C"/>
    <w:rsid w:val="00205610"/>
    <w:rsid w:val="00206788"/>
    <w:rsid w:val="00221008"/>
    <w:rsid w:val="00227706"/>
    <w:rsid w:val="00235BA7"/>
    <w:rsid w:val="00240F3B"/>
    <w:rsid w:val="002443C4"/>
    <w:rsid w:val="00245D27"/>
    <w:rsid w:val="00250AA5"/>
    <w:rsid w:val="00251E91"/>
    <w:rsid w:val="00295170"/>
    <w:rsid w:val="002A3B29"/>
    <w:rsid w:val="002B7CDA"/>
    <w:rsid w:val="002C07D9"/>
    <w:rsid w:val="002D2FF8"/>
    <w:rsid w:val="002D4E2F"/>
    <w:rsid w:val="00305649"/>
    <w:rsid w:val="00305E1A"/>
    <w:rsid w:val="00317529"/>
    <w:rsid w:val="00351BAA"/>
    <w:rsid w:val="00374FCB"/>
    <w:rsid w:val="003760F0"/>
    <w:rsid w:val="00386426"/>
    <w:rsid w:val="003932D4"/>
    <w:rsid w:val="003A094B"/>
    <w:rsid w:val="003B1797"/>
    <w:rsid w:val="003B2430"/>
    <w:rsid w:val="003C0AE3"/>
    <w:rsid w:val="003C33A8"/>
    <w:rsid w:val="003C37B0"/>
    <w:rsid w:val="003C7C53"/>
    <w:rsid w:val="003E1867"/>
    <w:rsid w:val="003E242C"/>
    <w:rsid w:val="004152D6"/>
    <w:rsid w:val="00416C66"/>
    <w:rsid w:val="00417AC8"/>
    <w:rsid w:val="00420DA0"/>
    <w:rsid w:val="00427D60"/>
    <w:rsid w:val="00433899"/>
    <w:rsid w:val="004519F2"/>
    <w:rsid w:val="00453DD6"/>
    <w:rsid w:val="00462E8E"/>
    <w:rsid w:val="00470DF3"/>
    <w:rsid w:val="004834EE"/>
    <w:rsid w:val="0048405D"/>
    <w:rsid w:val="00485234"/>
    <w:rsid w:val="004868FA"/>
    <w:rsid w:val="0048722D"/>
    <w:rsid w:val="00494B9F"/>
    <w:rsid w:val="004A3F50"/>
    <w:rsid w:val="004A71B8"/>
    <w:rsid w:val="004C0547"/>
    <w:rsid w:val="004D0578"/>
    <w:rsid w:val="004D1E0B"/>
    <w:rsid w:val="004D53F1"/>
    <w:rsid w:val="004E1900"/>
    <w:rsid w:val="004F43AA"/>
    <w:rsid w:val="00503AC5"/>
    <w:rsid w:val="005076FE"/>
    <w:rsid w:val="00525285"/>
    <w:rsid w:val="005344B5"/>
    <w:rsid w:val="005363DD"/>
    <w:rsid w:val="0054278F"/>
    <w:rsid w:val="005547AF"/>
    <w:rsid w:val="00565035"/>
    <w:rsid w:val="00576889"/>
    <w:rsid w:val="0057743A"/>
    <w:rsid w:val="00577A59"/>
    <w:rsid w:val="005801D5"/>
    <w:rsid w:val="005905AC"/>
    <w:rsid w:val="00595DF0"/>
    <w:rsid w:val="005A04DA"/>
    <w:rsid w:val="005A2418"/>
    <w:rsid w:val="005C2CF7"/>
    <w:rsid w:val="005C5920"/>
    <w:rsid w:val="005D1D65"/>
    <w:rsid w:val="005E4439"/>
    <w:rsid w:val="005E48D1"/>
    <w:rsid w:val="005E7E90"/>
    <w:rsid w:val="00605CEA"/>
    <w:rsid w:val="00615390"/>
    <w:rsid w:val="00622B9C"/>
    <w:rsid w:val="006265EC"/>
    <w:rsid w:val="006267B9"/>
    <w:rsid w:val="0063692C"/>
    <w:rsid w:val="00636EE1"/>
    <w:rsid w:val="0064446E"/>
    <w:rsid w:val="006507F3"/>
    <w:rsid w:val="00655EF3"/>
    <w:rsid w:val="0067035E"/>
    <w:rsid w:val="00676679"/>
    <w:rsid w:val="00683629"/>
    <w:rsid w:val="006849E2"/>
    <w:rsid w:val="00684E9F"/>
    <w:rsid w:val="006862BA"/>
    <w:rsid w:val="00690441"/>
    <w:rsid w:val="00694FDA"/>
    <w:rsid w:val="006A11C9"/>
    <w:rsid w:val="006A35A0"/>
    <w:rsid w:val="006A37CC"/>
    <w:rsid w:val="006C7713"/>
    <w:rsid w:val="006D7E56"/>
    <w:rsid w:val="006E29E2"/>
    <w:rsid w:val="006E2C4F"/>
    <w:rsid w:val="006E3A03"/>
    <w:rsid w:val="006E789A"/>
    <w:rsid w:val="006F0AC2"/>
    <w:rsid w:val="006F5DE3"/>
    <w:rsid w:val="0070427D"/>
    <w:rsid w:val="00710780"/>
    <w:rsid w:val="00712012"/>
    <w:rsid w:val="00714D99"/>
    <w:rsid w:val="007242AE"/>
    <w:rsid w:val="007347F1"/>
    <w:rsid w:val="007368AC"/>
    <w:rsid w:val="00737DA4"/>
    <w:rsid w:val="007537CA"/>
    <w:rsid w:val="00756C86"/>
    <w:rsid w:val="00765FC3"/>
    <w:rsid w:val="00766AEF"/>
    <w:rsid w:val="0078185F"/>
    <w:rsid w:val="00785C72"/>
    <w:rsid w:val="007B0B5F"/>
    <w:rsid w:val="007B31FC"/>
    <w:rsid w:val="007C29B5"/>
    <w:rsid w:val="007C4F9E"/>
    <w:rsid w:val="007C5B49"/>
    <w:rsid w:val="007C6AE0"/>
    <w:rsid w:val="007D03F1"/>
    <w:rsid w:val="007D7850"/>
    <w:rsid w:val="007E7652"/>
    <w:rsid w:val="007F7835"/>
    <w:rsid w:val="00807590"/>
    <w:rsid w:val="0082031D"/>
    <w:rsid w:val="00820C0C"/>
    <w:rsid w:val="00820C6F"/>
    <w:rsid w:val="00824990"/>
    <w:rsid w:val="0082660E"/>
    <w:rsid w:val="0083587E"/>
    <w:rsid w:val="00842F75"/>
    <w:rsid w:val="00843E9D"/>
    <w:rsid w:val="00851E15"/>
    <w:rsid w:val="00857C98"/>
    <w:rsid w:val="00860108"/>
    <w:rsid w:val="008770D0"/>
    <w:rsid w:val="0088387F"/>
    <w:rsid w:val="00885744"/>
    <w:rsid w:val="008A483D"/>
    <w:rsid w:val="008A5143"/>
    <w:rsid w:val="008B5A91"/>
    <w:rsid w:val="008C1D59"/>
    <w:rsid w:val="008E0343"/>
    <w:rsid w:val="008E62FA"/>
    <w:rsid w:val="008F7552"/>
    <w:rsid w:val="008F7B05"/>
    <w:rsid w:val="00900BB4"/>
    <w:rsid w:val="00913C8C"/>
    <w:rsid w:val="00923ED8"/>
    <w:rsid w:val="00924D8E"/>
    <w:rsid w:val="0094576C"/>
    <w:rsid w:val="00950C33"/>
    <w:rsid w:val="00957724"/>
    <w:rsid w:val="00972820"/>
    <w:rsid w:val="009753BC"/>
    <w:rsid w:val="00975D62"/>
    <w:rsid w:val="009965A7"/>
    <w:rsid w:val="009A73AC"/>
    <w:rsid w:val="009B577E"/>
    <w:rsid w:val="009C6141"/>
    <w:rsid w:val="009D17CB"/>
    <w:rsid w:val="009D3D6B"/>
    <w:rsid w:val="009E3750"/>
    <w:rsid w:val="009E45F1"/>
    <w:rsid w:val="009E508B"/>
    <w:rsid w:val="00A129DD"/>
    <w:rsid w:val="00A21305"/>
    <w:rsid w:val="00A22BF7"/>
    <w:rsid w:val="00A25950"/>
    <w:rsid w:val="00A42295"/>
    <w:rsid w:val="00A44048"/>
    <w:rsid w:val="00A62B28"/>
    <w:rsid w:val="00A62E75"/>
    <w:rsid w:val="00A72917"/>
    <w:rsid w:val="00A81A7A"/>
    <w:rsid w:val="00A83A8A"/>
    <w:rsid w:val="00A85A44"/>
    <w:rsid w:val="00A94002"/>
    <w:rsid w:val="00AA7F4D"/>
    <w:rsid w:val="00AB5FEA"/>
    <w:rsid w:val="00AC1576"/>
    <w:rsid w:val="00AD2331"/>
    <w:rsid w:val="00AD2EE6"/>
    <w:rsid w:val="00AE6E5D"/>
    <w:rsid w:val="00AF07C1"/>
    <w:rsid w:val="00AF2C9D"/>
    <w:rsid w:val="00AF509F"/>
    <w:rsid w:val="00B023DF"/>
    <w:rsid w:val="00B049A0"/>
    <w:rsid w:val="00B146C4"/>
    <w:rsid w:val="00B146D0"/>
    <w:rsid w:val="00B2435C"/>
    <w:rsid w:val="00B46F10"/>
    <w:rsid w:val="00B60F7D"/>
    <w:rsid w:val="00B61199"/>
    <w:rsid w:val="00B667CA"/>
    <w:rsid w:val="00B67DC8"/>
    <w:rsid w:val="00B95276"/>
    <w:rsid w:val="00BA08AE"/>
    <w:rsid w:val="00BD1980"/>
    <w:rsid w:val="00BD2EA3"/>
    <w:rsid w:val="00BF3712"/>
    <w:rsid w:val="00C12D47"/>
    <w:rsid w:val="00C12DAA"/>
    <w:rsid w:val="00C31187"/>
    <w:rsid w:val="00C47685"/>
    <w:rsid w:val="00C50F32"/>
    <w:rsid w:val="00C53756"/>
    <w:rsid w:val="00C61BCB"/>
    <w:rsid w:val="00C7240A"/>
    <w:rsid w:val="00C97110"/>
    <w:rsid w:val="00CA7DD7"/>
    <w:rsid w:val="00CB1C7B"/>
    <w:rsid w:val="00CB48CB"/>
    <w:rsid w:val="00CC0F92"/>
    <w:rsid w:val="00CC792C"/>
    <w:rsid w:val="00CD7BE2"/>
    <w:rsid w:val="00CF11C5"/>
    <w:rsid w:val="00CF511E"/>
    <w:rsid w:val="00D1508D"/>
    <w:rsid w:val="00D16669"/>
    <w:rsid w:val="00D20579"/>
    <w:rsid w:val="00D20B40"/>
    <w:rsid w:val="00D34941"/>
    <w:rsid w:val="00D46690"/>
    <w:rsid w:val="00D62C0A"/>
    <w:rsid w:val="00D70472"/>
    <w:rsid w:val="00D7289D"/>
    <w:rsid w:val="00D729F4"/>
    <w:rsid w:val="00D83189"/>
    <w:rsid w:val="00D9277F"/>
    <w:rsid w:val="00DD1AF3"/>
    <w:rsid w:val="00DD5A2E"/>
    <w:rsid w:val="00DE322C"/>
    <w:rsid w:val="00DF08AD"/>
    <w:rsid w:val="00E00351"/>
    <w:rsid w:val="00E04786"/>
    <w:rsid w:val="00E05458"/>
    <w:rsid w:val="00E11AC0"/>
    <w:rsid w:val="00E228B5"/>
    <w:rsid w:val="00E27AF5"/>
    <w:rsid w:val="00E53676"/>
    <w:rsid w:val="00EA2868"/>
    <w:rsid w:val="00EA6E90"/>
    <w:rsid w:val="00EB591D"/>
    <w:rsid w:val="00EC5C05"/>
    <w:rsid w:val="00EF0BBB"/>
    <w:rsid w:val="00F06CF5"/>
    <w:rsid w:val="00F13E10"/>
    <w:rsid w:val="00F26200"/>
    <w:rsid w:val="00F41FE5"/>
    <w:rsid w:val="00F42639"/>
    <w:rsid w:val="00F50F07"/>
    <w:rsid w:val="00F5581C"/>
    <w:rsid w:val="00F62B82"/>
    <w:rsid w:val="00F630CF"/>
    <w:rsid w:val="00F976B7"/>
    <w:rsid w:val="00FB58DF"/>
    <w:rsid w:val="00FB73E1"/>
    <w:rsid w:val="00FC1162"/>
    <w:rsid w:val="00FC2D93"/>
    <w:rsid w:val="00FD65F5"/>
    <w:rsid w:val="00FE39EB"/>
    <w:rsid w:val="00FF40B2"/>
    <w:rsid w:val="00FF4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EFC07"/>
  <w15:docId w15:val="{6F1E46C7-9631-BC4A-868B-1B9B60F30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Heading1Char">
    <w:name w:val="Heading 1 Char"/>
    <w:basedOn w:val="DefaultParagraphFont"/>
    <w:link w:val="Heading1"/>
    <w:uiPriority w:val="9"/>
    <w:rsid w:val="00075464"/>
    <w:rPr>
      <w:sz w:val="40"/>
      <w:szCs w:val="40"/>
    </w:rPr>
  </w:style>
  <w:style w:type="paragraph" w:styleId="ListParagraph">
    <w:name w:val="List Paragraph"/>
    <w:basedOn w:val="Normal"/>
    <w:uiPriority w:val="34"/>
    <w:qFormat/>
    <w:rsid w:val="00075464"/>
    <w:pPr>
      <w:ind w:left="720"/>
      <w:contextualSpacing/>
    </w:pPr>
  </w:style>
  <w:style w:type="character" w:styleId="Hyperlink">
    <w:name w:val="Hyperlink"/>
    <w:basedOn w:val="DefaultParagraphFont"/>
    <w:uiPriority w:val="99"/>
    <w:unhideWhenUsed/>
    <w:rsid w:val="00075464"/>
    <w:rPr>
      <w:color w:val="0000FF" w:themeColor="hyperlink"/>
      <w:u w:val="single"/>
    </w:rPr>
  </w:style>
  <w:style w:type="character" w:styleId="UnresolvedMention">
    <w:name w:val="Unresolved Mention"/>
    <w:basedOn w:val="DefaultParagraphFont"/>
    <w:uiPriority w:val="99"/>
    <w:semiHidden/>
    <w:unhideWhenUsed/>
    <w:rsid w:val="00075464"/>
    <w:rPr>
      <w:color w:val="605E5C"/>
      <w:shd w:val="clear" w:color="auto" w:fill="E1DFDD"/>
    </w:rPr>
  </w:style>
  <w:style w:type="character" w:styleId="FollowedHyperlink">
    <w:name w:val="FollowedHyperlink"/>
    <w:basedOn w:val="DefaultParagraphFont"/>
    <w:uiPriority w:val="99"/>
    <w:semiHidden/>
    <w:unhideWhenUsed/>
    <w:rsid w:val="00152F71"/>
    <w:rPr>
      <w:color w:val="800080" w:themeColor="followedHyperlink"/>
      <w:u w:val="single"/>
    </w:rPr>
  </w:style>
  <w:style w:type="paragraph" w:styleId="BalloonText">
    <w:name w:val="Balloon Text"/>
    <w:basedOn w:val="Normal"/>
    <w:link w:val="BalloonTextChar"/>
    <w:uiPriority w:val="99"/>
    <w:semiHidden/>
    <w:unhideWhenUsed/>
    <w:rsid w:val="00FE39E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E39EB"/>
    <w:rPr>
      <w:rFonts w:ascii="Times New Roman" w:hAnsi="Times New Roman" w:cs="Times New Roman"/>
      <w:sz w:val="18"/>
      <w:szCs w:val="18"/>
    </w:rPr>
  </w:style>
  <w:style w:type="paragraph" w:styleId="Caption">
    <w:name w:val="caption"/>
    <w:basedOn w:val="Normal"/>
    <w:next w:val="Normal"/>
    <w:uiPriority w:val="35"/>
    <w:unhideWhenUsed/>
    <w:qFormat/>
    <w:rsid w:val="00221008"/>
    <w:pPr>
      <w:spacing w:after="200" w:line="240" w:lineRule="auto"/>
    </w:pPr>
    <w:rPr>
      <w:i/>
      <w:iCs/>
      <w:color w:val="1F497D" w:themeColor="text2"/>
      <w:sz w:val="18"/>
      <w:szCs w:val="18"/>
    </w:rPr>
  </w:style>
  <w:style w:type="paragraph" w:styleId="Header">
    <w:name w:val="header"/>
    <w:basedOn w:val="Normal"/>
    <w:link w:val="HeaderChar"/>
    <w:uiPriority w:val="99"/>
    <w:unhideWhenUsed/>
    <w:rsid w:val="004834EE"/>
    <w:pPr>
      <w:tabs>
        <w:tab w:val="center" w:pos="4680"/>
        <w:tab w:val="right" w:pos="9360"/>
      </w:tabs>
      <w:spacing w:line="240" w:lineRule="auto"/>
    </w:pPr>
  </w:style>
  <w:style w:type="character" w:customStyle="1" w:styleId="HeaderChar">
    <w:name w:val="Header Char"/>
    <w:basedOn w:val="DefaultParagraphFont"/>
    <w:link w:val="Header"/>
    <w:uiPriority w:val="99"/>
    <w:rsid w:val="004834EE"/>
  </w:style>
  <w:style w:type="paragraph" w:styleId="Footer">
    <w:name w:val="footer"/>
    <w:basedOn w:val="Normal"/>
    <w:link w:val="FooterChar"/>
    <w:uiPriority w:val="99"/>
    <w:unhideWhenUsed/>
    <w:rsid w:val="004834EE"/>
    <w:pPr>
      <w:tabs>
        <w:tab w:val="center" w:pos="4680"/>
        <w:tab w:val="right" w:pos="9360"/>
      </w:tabs>
      <w:spacing w:line="240" w:lineRule="auto"/>
    </w:pPr>
  </w:style>
  <w:style w:type="character" w:customStyle="1" w:styleId="FooterChar">
    <w:name w:val="Footer Char"/>
    <w:basedOn w:val="DefaultParagraphFont"/>
    <w:link w:val="Footer"/>
    <w:uiPriority w:val="99"/>
    <w:rsid w:val="004834EE"/>
  </w:style>
  <w:style w:type="character" w:styleId="PageNumber">
    <w:name w:val="page number"/>
    <w:basedOn w:val="DefaultParagraphFont"/>
    <w:uiPriority w:val="99"/>
    <w:semiHidden/>
    <w:unhideWhenUsed/>
    <w:rsid w:val="004834EE"/>
  </w:style>
  <w:style w:type="paragraph" w:customStyle="1" w:styleId="FirstParagraph">
    <w:name w:val="First Paragraph"/>
    <w:basedOn w:val="BodyText"/>
    <w:next w:val="BodyText"/>
    <w:qFormat/>
    <w:rsid w:val="00807590"/>
    <w:pPr>
      <w:spacing w:before="180" w:after="180" w:line="240" w:lineRule="auto"/>
    </w:pPr>
    <w:rPr>
      <w:rFonts w:ascii="Times New Roman" w:eastAsia="Times New Roman" w:hAnsi="Times New Roman" w:cs="Times New Roman"/>
      <w:sz w:val="24"/>
      <w:szCs w:val="24"/>
      <w:lang w:val="en-US"/>
    </w:rPr>
  </w:style>
  <w:style w:type="paragraph" w:styleId="BodyText">
    <w:name w:val="Body Text"/>
    <w:basedOn w:val="Normal"/>
    <w:link w:val="BodyTextChar"/>
    <w:uiPriority w:val="99"/>
    <w:semiHidden/>
    <w:unhideWhenUsed/>
    <w:rsid w:val="00807590"/>
    <w:pPr>
      <w:spacing w:after="120"/>
    </w:pPr>
  </w:style>
  <w:style w:type="character" w:customStyle="1" w:styleId="BodyTextChar">
    <w:name w:val="Body Text Char"/>
    <w:basedOn w:val="DefaultParagraphFont"/>
    <w:link w:val="BodyText"/>
    <w:uiPriority w:val="99"/>
    <w:semiHidden/>
    <w:rsid w:val="00807590"/>
  </w:style>
  <w:style w:type="table" w:styleId="TableGrid">
    <w:name w:val="Table Grid"/>
    <w:basedOn w:val="TableNormal"/>
    <w:uiPriority w:val="39"/>
    <w:rsid w:val="00F426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7147">
      <w:bodyDiv w:val="1"/>
      <w:marLeft w:val="0"/>
      <w:marRight w:val="0"/>
      <w:marTop w:val="0"/>
      <w:marBottom w:val="0"/>
      <w:divBdr>
        <w:top w:val="none" w:sz="0" w:space="0" w:color="auto"/>
        <w:left w:val="none" w:sz="0" w:space="0" w:color="auto"/>
        <w:bottom w:val="none" w:sz="0" w:space="0" w:color="auto"/>
        <w:right w:val="none" w:sz="0" w:space="0" w:color="auto"/>
      </w:divBdr>
      <w:divsChild>
        <w:div w:id="1090002310">
          <w:marLeft w:val="446"/>
          <w:marRight w:val="0"/>
          <w:marTop w:val="0"/>
          <w:marBottom w:val="0"/>
          <w:divBdr>
            <w:top w:val="none" w:sz="0" w:space="0" w:color="auto"/>
            <w:left w:val="none" w:sz="0" w:space="0" w:color="auto"/>
            <w:bottom w:val="none" w:sz="0" w:space="0" w:color="auto"/>
            <w:right w:val="none" w:sz="0" w:space="0" w:color="auto"/>
          </w:divBdr>
        </w:div>
        <w:div w:id="61223399">
          <w:marLeft w:val="446"/>
          <w:marRight w:val="0"/>
          <w:marTop w:val="0"/>
          <w:marBottom w:val="0"/>
          <w:divBdr>
            <w:top w:val="none" w:sz="0" w:space="0" w:color="auto"/>
            <w:left w:val="none" w:sz="0" w:space="0" w:color="auto"/>
            <w:bottom w:val="none" w:sz="0" w:space="0" w:color="auto"/>
            <w:right w:val="none" w:sz="0" w:space="0" w:color="auto"/>
          </w:divBdr>
        </w:div>
      </w:divsChild>
    </w:div>
    <w:div w:id="58402870">
      <w:bodyDiv w:val="1"/>
      <w:marLeft w:val="0"/>
      <w:marRight w:val="0"/>
      <w:marTop w:val="0"/>
      <w:marBottom w:val="0"/>
      <w:divBdr>
        <w:top w:val="none" w:sz="0" w:space="0" w:color="auto"/>
        <w:left w:val="none" w:sz="0" w:space="0" w:color="auto"/>
        <w:bottom w:val="none" w:sz="0" w:space="0" w:color="auto"/>
        <w:right w:val="none" w:sz="0" w:space="0" w:color="auto"/>
      </w:divBdr>
    </w:div>
    <w:div w:id="63577254">
      <w:bodyDiv w:val="1"/>
      <w:marLeft w:val="0"/>
      <w:marRight w:val="0"/>
      <w:marTop w:val="0"/>
      <w:marBottom w:val="0"/>
      <w:divBdr>
        <w:top w:val="none" w:sz="0" w:space="0" w:color="auto"/>
        <w:left w:val="none" w:sz="0" w:space="0" w:color="auto"/>
        <w:bottom w:val="none" w:sz="0" w:space="0" w:color="auto"/>
        <w:right w:val="none" w:sz="0" w:space="0" w:color="auto"/>
      </w:divBdr>
    </w:div>
    <w:div w:id="550578815">
      <w:bodyDiv w:val="1"/>
      <w:marLeft w:val="0"/>
      <w:marRight w:val="0"/>
      <w:marTop w:val="0"/>
      <w:marBottom w:val="0"/>
      <w:divBdr>
        <w:top w:val="none" w:sz="0" w:space="0" w:color="auto"/>
        <w:left w:val="none" w:sz="0" w:space="0" w:color="auto"/>
        <w:bottom w:val="none" w:sz="0" w:space="0" w:color="auto"/>
        <w:right w:val="none" w:sz="0" w:space="0" w:color="auto"/>
      </w:divBdr>
    </w:div>
    <w:div w:id="645010410">
      <w:bodyDiv w:val="1"/>
      <w:marLeft w:val="0"/>
      <w:marRight w:val="0"/>
      <w:marTop w:val="0"/>
      <w:marBottom w:val="0"/>
      <w:divBdr>
        <w:top w:val="none" w:sz="0" w:space="0" w:color="auto"/>
        <w:left w:val="none" w:sz="0" w:space="0" w:color="auto"/>
        <w:bottom w:val="none" w:sz="0" w:space="0" w:color="auto"/>
        <w:right w:val="none" w:sz="0" w:space="0" w:color="auto"/>
      </w:divBdr>
    </w:div>
    <w:div w:id="730034592">
      <w:bodyDiv w:val="1"/>
      <w:marLeft w:val="0"/>
      <w:marRight w:val="0"/>
      <w:marTop w:val="0"/>
      <w:marBottom w:val="0"/>
      <w:divBdr>
        <w:top w:val="none" w:sz="0" w:space="0" w:color="auto"/>
        <w:left w:val="none" w:sz="0" w:space="0" w:color="auto"/>
        <w:bottom w:val="none" w:sz="0" w:space="0" w:color="auto"/>
        <w:right w:val="none" w:sz="0" w:space="0" w:color="auto"/>
      </w:divBdr>
    </w:div>
    <w:div w:id="810903596">
      <w:bodyDiv w:val="1"/>
      <w:marLeft w:val="0"/>
      <w:marRight w:val="0"/>
      <w:marTop w:val="0"/>
      <w:marBottom w:val="0"/>
      <w:divBdr>
        <w:top w:val="none" w:sz="0" w:space="0" w:color="auto"/>
        <w:left w:val="none" w:sz="0" w:space="0" w:color="auto"/>
        <w:bottom w:val="none" w:sz="0" w:space="0" w:color="auto"/>
        <w:right w:val="none" w:sz="0" w:space="0" w:color="auto"/>
      </w:divBdr>
    </w:div>
    <w:div w:id="948508444">
      <w:bodyDiv w:val="1"/>
      <w:marLeft w:val="0"/>
      <w:marRight w:val="0"/>
      <w:marTop w:val="0"/>
      <w:marBottom w:val="0"/>
      <w:divBdr>
        <w:top w:val="none" w:sz="0" w:space="0" w:color="auto"/>
        <w:left w:val="none" w:sz="0" w:space="0" w:color="auto"/>
        <w:bottom w:val="none" w:sz="0" w:space="0" w:color="auto"/>
        <w:right w:val="none" w:sz="0" w:space="0" w:color="auto"/>
      </w:divBdr>
    </w:div>
    <w:div w:id="1019814591">
      <w:bodyDiv w:val="1"/>
      <w:marLeft w:val="0"/>
      <w:marRight w:val="0"/>
      <w:marTop w:val="0"/>
      <w:marBottom w:val="0"/>
      <w:divBdr>
        <w:top w:val="none" w:sz="0" w:space="0" w:color="auto"/>
        <w:left w:val="none" w:sz="0" w:space="0" w:color="auto"/>
        <w:bottom w:val="none" w:sz="0" w:space="0" w:color="auto"/>
        <w:right w:val="none" w:sz="0" w:space="0" w:color="auto"/>
      </w:divBdr>
    </w:div>
    <w:div w:id="1047683596">
      <w:bodyDiv w:val="1"/>
      <w:marLeft w:val="0"/>
      <w:marRight w:val="0"/>
      <w:marTop w:val="0"/>
      <w:marBottom w:val="0"/>
      <w:divBdr>
        <w:top w:val="none" w:sz="0" w:space="0" w:color="auto"/>
        <w:left w:val="none" w:sz="0" w:space="0" w:color="auto"/>
        <w:bottom w:val="none" w:sz="0" w:space="0" w:color="auto"/>
        <w:right w:val="none" w:sz="0" w:space="0" w:color="auto"/>
      </w:divBdr>
    </w:div>
    <w:div w:id="1166480376">
      <w:bodyDiv w:val="1"/>
      <w:marLeft w:val="0"/>
      <w:marRight w:val="0"/>
      <w:marTop w:val="0"/>
      <w:marBottom w:val="0"/>
      <w:divBdr>
        <w:top w:val="none" w:sz="0" w:space="0" w:color="auto"/>
        <w:left w:val="none" w:sz="0" w:space="0" w:color="auto"/>
        <w:bottom w:val="none" w:sz="0" w:space="0" w:color="auto"/>
        <w:right w:val="none" w:sz="0" w:space="0" w:color="auto"/>
      </w:divBdr>
    </w:div>
    <w:div w:id="1288246112">
      <w:bodyDiv w:val="1"/>
      <w:marLeft w:val="0"/>
      <w:marRight w:val="0"/>
      <w:marTop w:val="0"/>
      <w:marBottom w:val="0"/>
      <w:divBdr>
        <w:top w:val="none" w:sz="0" w:space="0" w:color="auto"/>
        <w:left w:val="none" w:sz="0" w:space="0" w:color="auto"/>
        <w:bottom w:val="none" w:sz="0" w:space="0" w:color="auto"/>
        <w:right w:val="none" w:sz="0" w:space="0" w:color="auto"/>
      </w:divBdr>
    </w:div>
    <w:div w:id="1532500215">
      <w:bodyDiv w:val="1"/>
      <w:marLeft w:val="0"/>
      <w:marRight w:val="0"/>
      <w:marTop w:val="0"/>
      <w:marBottom w:val="0"/>
      <w:divBdr>
        <w:top w:val="none" w:sz="0" w:space="0" w:color="auto"/>
        <w:left w:val="none" w:sz="0" w:space="0" w:color="auto"/>
        <w:bottom w:val="none" w:sz="0" w:space="0" w:color="auto"/>
        <w:right w:val="none" w:sz="0" w:space="0" w:color="auto"/>
      </w:divBdr>
    </w:div>
    <w:div w:id="1673952352">
      <w:bodyDiv w:val="1"/>
      <w:marLeft w:val="0"/>
      <w:marRight w:val="0"/>
      <w:marTop w:val="0"/>
      <w:marBottom w:val="0"/>
      <w:divBdr>
        <w:top w:val="none" w:sz="0" w:space="0" w:color="auto"/>
        <w:left w:val="none" w:sz="0" w:space="0" w:color="auto"/>
        <w:bottom w:val="none" w:sz="0" w:space="0" w:color="auto"/>
        <w:right w:val="none" w:sz="0" w:space="0" w:color="auto"/>
      </w:divBdr>
    </w:div>
    <w:div w:id="21381820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docs.oasis-open.org/sarif/sarif/v2.1.0/os/sarif-v2.1.0-os.pdf"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spdx.dev/wp-content/uploads/sites/41/2017/12/spdxversion2.1.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oasis-open.github.io/csaf-documentation/"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nvlpubs.nist.gov/nistpubs/SpecialPublications/NIST.SP.800-126r3.pdf" TargetMode="External"/><Relationship Id="rId30" Type="http://schemas.openxmlformats.org/officeDocument/2006/relationships/footer" Target="footer1.xml"/><Relationship Id="rId8" Type="http://schemas.openxmlformats.org/officeDocument/2006/relationships/hyperlink" Target="https://creativecommons.org/licenses/by/4.0/legal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2BEB5D-387C-1A40-83C1-CFEBB3F56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1379</Words>
  <Characters>8467</Characters>
  <Application>Microsoft Office Word</Application>
  <DocSecurity>0</DocSecurity>
  <Lines>198</Lines>
  <Paragraphs>83</Paragraphs>
  <ScaleCrop>false</ScaleCrop>
  <HeadingPairs>
    <vt:vector size="2" baseType="variant">
      <vt:variant>
        <vt:lpstr>Title</vt:lpstr>
      </vt:variant>
      <vt:variant>
        <vt:i4>1</vt:i4>
      </vt:variant>
    </vt:vector>
  </HeadingPairs>
  <TitlesOfParts>
    <vt:vector size="1" baseType="lpstr">
      <vt:lpstr>Understanding Cybersecurity Risk Freshness in an AVCDL Context </vt:lpstr>
    </vt:vector>
  </TitlesOfParts>
  <Manager/>
  <Company>Motional</Company>
  <LinksUpToDate>false</LinksUpToDate>
  <CharactersWithSpaces>9768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Cybersecurity Risk Freshness in an AVCDL Context </dc:title>
  <dc:subject>cybersecurity risk freshness</dc:subject>
  <dc:creator>Charles Wilson</dc:creator>
  <cp:keywords/>
  <dc:description>This work was created by Motional and is licensed under the Creative Commons Attribution-Share Alike (CC BY-SA-4.0) License.
https://creativecommons.org/licenses/by/4.0/legalcode
</dc:description>
  <cp:lastModifiedBy>Charles Wilson</cp:lastModifiedBy>
  <cp:revision>3</cp:revision>
  <dcterms:created xsi:type="dcterms:W3CDTF">2024-03-07T19:19:00Z</dcterms:created>
  <dcterms:modified xsi:type="dcterms:W3CDTF">2024-03-07T19:21:00Z</dcterms:modified>
  <cp:category/>
</cp:coreProperties>
</file>