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388635B5" w:rsidR="003760F0" w:rsidRDefault="00630D5C" w:rsidP="00676679">
      <w:pPr>
        <w:pStyle w:val="Heading1"/>
        <w:jc w:val="center"/>
        <w:rPr>
          <w:sz w:val="52"/>
          <w:szCs w:val="52"/>
        </w:rPr>
      </w:pPr>
      <w:r w:rsidRPr="00630D5C">
        <w:rPr>
          <w:sz w:val="52"/>
          <w:szCs w:val="52"/>
        </w:rPr>
        <w:t>Understanding Service Level Agreements in an AVCDL Context</w:t>
      </w:r>
    </w:p>
    <w:p w14:paraId="578FE19B" w14:textId="4874E052" w:rsidR="00075464" w:rsidRDefault="00B46F10" w:rsidP="00075464">
      <w:pPr>
        <w:pStyle w:val="Heading1"/>
      </w:pPr>
      <w:r>
        <w:t>Revision</w:t>
      </w:r>
    </w:p>
    <w:p w14:paraId="06ECF040" w14:textId="7636ECC7" w:rsidR="00807590" w:rsidRPr="00807590" w:rsidRDefault="00807590" w:rsidP="00807590">
      <w:r>
        <w:t xml:space="preserve">Version </w:t>
      </w:r>
      <w:r w:rsidR="00A53CB3">
        <w:t>2</w:t>
      </w:r>
    </w:p>
    <w:p w14:paraId="45CEE66D" w14:textId="66D60F84" w:rsidR="00075464" w:rsidRDefault="00075464" w:rsidP="00075464">
      <w:pPr>
        <w:jc w:val="both"/>
      </w:pPr>
      <w:r>
        <w:fldChar w:fldCharType="begin"/>
      </w:r>
      <w:r>
        <w:instrText xml:space="preserve"> DATE \@ "M/d/yy h:mm am/pm" </w:instrText>
      </w:r>
      <w:r>
        <w:fldChar w:fldCharType="separate"/>
      </w:r>
      <w:r w:rsidR="00A53CB3">
        <w:rPr>
          <w:noProof/>
        </w:rPr>
        <w:t>4/22/24 10:06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6097E34A" w:rsidR="00E27AF5" w:rsidRDefault="003760F0">
      <w:pPr>
        <w:jc w:val="both"/>
      </w:pPr>
      <w:r>
        <w:t xml:space="preserve">This document describes how </w:t>
      </w:r>
      <w:r w:rsidR="00857C98">
        <w:t xml:space="preserve">the </w:t>
      </w:r>
      <w:r w:rsidR="00630D5C">
        <w:t>service level agreements</w:t>
      </w:r>
      <w:r w:rsidR="009100C5">
        <w:t xml:space="preserve"> (SLAs)</w:t>
      </w:r>
      <w:r w:rsidR="00630D5C">
        <w:t xml:space="preserve"> are considered</w:t>
      </w:r>
      <w:r w:rsidR="00857C98">
        <w:t xml:space="preserve"> within</w:t>
      </w:r>
      <w:r>
        <w:t xml:space="preserve"> </w:t>
      </w:r>
      <w:r w:rsidR="00630D5C">
        <w:t xml:space="preserve">the context of </w:t>
      </w:r>
      <w:r>
        <w:t xml:space="preserve">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001D6915" w:rsidR="00470DF3" w:rsidRDefault="007C4F9E" w:rsidP="003B1797">
      <w:pPr>
        <w:spacing w:after="240"/>
        <w:jc w:val="both"/>
      </w:pPr>
      <w:r>
        <w:t>Although 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w:t>
      </w:r>
      <w:r w:rsidR="005C2CF7">
        <w:t xml:space="preserve">the topic of </w:t>
      </w:r>
      <w:r w:rsidR="00B70F6F">
        <w:t>service level agreements (</w:t>
      </w:r>
      <w:r w:rsidR="00B70F6F" w:rsidRPr="00B70F6F">
        <w:rPr>
          <w:b/>
          <w:bCs/>
        </w:rPr>
        <w:t>SLA</w:t>
      </w:r>
      <w:r w:rsidR="00B70F6F">
        <w:t>s),</w:t>
      </w:r>
      <w:r w:rsidR="00F06CF5">
        <w:t xml:space="preserve"> </w:t>
      </w:r>
      <w:r>
        <w:t>i</w:t>
      </w:r>
      <w:r w:rsidR="00F06CF5">
        <w:t>t was designed with the intent that the</w:t>
      </w:r>
      <w:r w:rsidR="00B70F6F">
        <w:t>re be provisions in place between the supplier and customer to ensure that critical cybersecurity activities are able to take place</w:t>
      </w:r>
      <w:r w:rsidR="00F06CF5">
        <w:t xml:space="preserve">. This document will </w:t>
      </w:r>
      <w:r w:rsidR="00B70F6F">
        <w:t>discuss</w:t>
      </w:r>
      <w:r w:rsidR="00F06CF5">
        <w:t xml:space="preserve"> </w:t>
      </w:r>
      <w:r w:rsidR="00B70F6F">
        <w:t>the cybersecurity contributions to the supplier SLA</w:t>
      </w:r>
      <w:r w:rsidR="0067035E">
        <w:t>.</w:t>
      </w:r>
    </w:p>
    <w:p w14:paraId="04DEEB31" w14:textId="776538AC" w:rsidR="005F7210" w:rsidRDefault="005F7210" w:rsidP="005F7210">
      <w:pPr>
        <w:pStyle w:val="Heading1"/>
      </w:pPr>
      <w:r>
        <w:t>SLA Ownership</w:t>
      </w:r>
    </w:p>
    <w:p w14:paraId="76F1718B" w14:textId="205AC485" w:rsidR="005F7210" w:rsidRDefault="005F7210" w:rsidP="005F7210">
      <w:pPr>
        <w:spacing w:after="240"/>
        <w:jc w:val="both"/>
      </w:pPr>
      <w:r>
        <w:t>It is important to remember that a supplier SLA is owned and managed at the organizational level. Any contributions supporting cybersecurity requirements need to be added with consideration to their impact on the overall SLA and its management.</w:t>
      </w:r>
    </w:p>
    <w:p w14:paraId="2D4747ED" w14:textId="4C11EAD2" w:rsidR="00B60F7D" w:rsidRDefault="00B70F6F" w:rsidP="00B60F7D">
      <w:pPr>
        <w:pStyle w:val="Heading1"/>
      </w:pPr>
      <w:r>
        <w:t>Relationship to Other Supplier Documents</w:t>
      </w:r>
    </w:p>
    <w:p w14:paraId="6237D4B8" w14:textId="4FFA59B7" w:rsidR="00B70F6F" w:rsidRDefault="00B70F6F" w:rsidP="00B70F6F">
      <w:pPr>
        <w:spacing w:after="240"/>
      </w:pPr>
      <w:r>
        <w:t xml:space="preserve">The following diagram (from </w:t>
      </w:r>
      <w:r w:rsidRPr="00B70F6F">
        <w:rPr>
          <w:b/>
          <w:bCs/>
        </w:rPr>
        <w:t xml:space="preserve">Understanding Supply Chain Interaction in an AVCDL Context </w:t>
      </w:r>
      <w:r w:rsidRPr="00B70F6F">
        <w:rPr>
          <w:b/>
          <w:bCs/>
          <w:color w:val="0070C0"/>
          <w:vertAlign w:val="superscript"/>
        </w:rPr>
        <w:t>[2]</w:t>
      </w:r>
      <w:r>
        <w:t>) shows the relationship the SLA has with other supplier documents.</w:t>
      </w:r>
    </w:p>
    <w:p w14:paraId="12E87EB3" w14:textId="77777777" w:rsidR="00B70F6F" w:rsidRDefault="00B70F6F" w:rsidP="00B70F6F">
      <w:pPr>
        <w:jc w:val="center"/>
      </w:pPr>
      <w:r>
        <w:rPr>
          <w:noProof/>
        </w:rPr>
        <w:drawing>
          <wp:inline distT="0" distB="0" distL="0" distR="0" wp14:anchorId="7C51430F" wp14:editId="548692D4">
            <wp:extent cx="2328333" cy="86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57485" cy="915889"/>
                    </a:xfrm>
                    <a:prstGeom prst="rect">
                      <a:avLst/>
                    </a:prstGeom>
                  </pic:spPr>
                </pic:pic>
              </a:graphicData>
            </a:graphic>
          </wp:inline>
        </w:drawing>
      </w:r>
    </w:p>
    <w:p w14:paraId="229F190E" w14:textId="2E9BEB07" w:rsidR="00B60F7D" w:rsidRDefault="005F7210" w:rsidP="00B70F6F">
      <w:pPr>
        <w:spacing w:before="240" w:after="240"/>
        <w:jc w:val="both"/>
      </w:pPr>
      <w:r>
        <w:t>As shown above, the SLA is derived from the supplier cybersecurity interface agreement (</w:t>
      </w:r>
      <w:r w:rsidRPr="005F7210">
        <w:rPr>
          <w:b/>
          <w:bCs/>
        </w:rPr>
        <w:t>CIA</w:t>
      </w:r>
      <w:r>
        <w:t xml:space="preserve">) </w:t>
      </w:r>
      <w:r w:rsidRPr="005F7210">
        <w:rPr>
          <w:b/>
          <w:bCs/>
          <w:color w:val="0070C0"/>
          <w:vertAlign w:val="superscript"/>
        </w:rPr>
        <w:t>[3]</w:t>
      </w:r>
      <w:r w:rsidR="006A35A0">
        <w:t>.</w:t>
      </w:r>
      <w:r>
        <w:t xml:space="preserve"> This dependency allows the consideration of the specific requirements and responsibility division between the supplier and customer.</w:t>
      </w:r>
    </w:p>
    <w:p w14:paraId="06737217" w14:textId="77777777" w:rsidR="005F7210" w:rsidRDefault="005F7210">
      <w:pPr>
        <w:rPr>
          <w:sz w:val="40"/>
          <w:szCs w:val="40"/>
        </w:rPr>
      </w:pPr>
      <w:bookmarkStart w:id="4" w:name="_Open_Source_Inclusion"/>
      <w:bookmarkEnd w:id="4"/>
      <w:r>
        <w:br w:type="page"/>
      </w:r>
    </w:p>
    <w:p w14:paraId="43FE3276" w14:textId="2DD084B7" w:rsidR="00206788" w:rsidRDefault="005B7CDC" w:rsidP="00206788">
      <w:pPr>
        <w:pStyle w:val="Heading1"/>
      </w:pPr>
      <w:r>
        <w:lastRenderedPageBreak/>
        <w:t>Cybersecurity SLA Items</w:t>
      </w:r>
    </w:p>
    <w:p w14:paraId="7F3071FC" w14:textId="4F36DCF4" w:rsidR="00206788" w:rsidRDefault="005B7CDC" w:rsidP="00206788">
      <w:pPr>
        <w:spacing w:after="240"/>
        <w:jc w:val="both"/>
      </w:pPr>
      <w:r>
        <w:t>The following is a list of cybersecurity-related items</w:t>
      </w:r>
      <w:r w:rsidR="00710780">
        <w:t xml:space="preserve"> </w:t>
      </w:r>
      <w:r>
        <w:t>that should be considered for inclusion in the supplier SLA</w:t>
      </w:r>
      <w:r w:rsidR="005C5920">
        <w:t>.</w:t>
      </w:r>
    </w:p>
    <w:p w14:paraId="37C1D628" w14:textId="380822D5" w:rsidR="00D729F4" w:rsidRDefault="00D729F4" w:rsidP="00D729F4">
      <w:pPr>
        <w:spacing w:after="240"/>
        <w:ind w:left="720" w:hanging="720"/>
        <w:jc w:val="both"/>
      </w:pPr>
      <w:r w:rsidRPr="00D729F4">
        <w:rPr>
          <w:b/>
          <w:bCs/>
          <w:color w:val="0070C0"/>
        </w:rPr>
        <w:t>Note:</w:t>
      </w:r>
      <w:r>
        <w:tab/>
      </w:r>
      <w:r w:rsidR="005B7CDC">
        <w:t>This list is not intended to be the totality of cybersecurity items which might be included</w:t>
      </w:r>
      <w:r>
        <w:t>.</w:t>
      </w:r>
    </w:p>
    <w:p w14:paraId="21626FDB" w14:textId="2D019E2D" w:rsidR="005B7CDC" w:rsidRDefault="005B7CDC" w:rsidP="005B7CDC">
      <w:pPr>
        <w:spacing w:after="240"/>
        <w:ind w:left="720" w:hanging="720"/>
        <w:jc w:val="both"/>
      </w:pPr>
      <w:r w:rsidRPr="00D729F4">
        <w:rPr>
          <w:b/>
          <w:bCs/>
          <w:color w:val="0070C0"/>
        </w:rPr>
        <w:t>Note:</w:t>
      </w:r>
      <w:r>
        <w:tab/>
        <w:t>The order of the following items is not intended to convey relative importance.</w:t>
      </w:r>
    </w:p>
    <w:p w14:paraId="79BDBF6C" w14:textId="59278182" w:rsidR="005B7CDC" w:rsidRDefault="00857666" w:rsidP="005B7CDC">
      <w:pPr>
        <w:pStyle w:val="Heading2"/>
      </w:pPr>
      <w:r>
        <w:t>Identified</w:t>
      </w:r>
      <w:r w:rsidR="005B7CDC">
        <w:t xml:space="preserve"> Issue Reporting</w:t>
      </w:r>
    </w:p>
    <w:p w14:paraId="123272C5" w14:textId="480BE059" w:rsidR="005B7CDC" w:rsidRDefault="00857666" w:rsidP="005B7CDC">
      <w:pPr>
        <w:spacing w:after="240"/>
        <w:jc w:val="both"/>
      </w:pPr>
      <w:r>
        <w:t>It is critical that issues identified by the supplier are communicated to the customer in a timely manner</w:t>
      </w:r>
      <w:r w:rsidR="009B577E">
        <w:t>.</w:t>
      </w:r>
    </w:p>
    <w:p w14:paraId="4F073367" w14:textId="77777777" w:rsidR="005B7CDC" w:rsidRDefault="005B7CDC" w:rsidP="005B7CDC">
      <w:pPr>
        <w:pStyle w:val="Heading2"/>
      </w:pPr>
      <w:r>
        <w:t>Audit Support</w:t>
      </w:r>
    </w:p>
    <w:p w14:paraId="624BE7A2" w14:textId="79DA9426" w:rsidR="005B7CDC" w:rsidRDefault="00857666" w:rsidP="005B7CDC">
      <w:pPr>
        <w:spacing w:after="240"/>
        <w:jc w:val="both"/>
      </w:pPr>
      <w:r>
        <w:t>Provisions need to be in place to accommodate all aspects of auditing required by the customer or regulatory requirements</w:t>
      </w:r>
      <w:r w:rsidR="005B7CDC">
        <w:t>.</w:t>
      </w:r>
    </w:p>
    <w:p w14:paraId="15F9C4EB" w14:textId="1B9C52A0" w:rsidR="005B7CDC" w:rsidRDefault="005B7CDC" w:rsidP="005B7CDC">
      <w:pPr>
        <w:pStyle w:val="Heading2"/>
      </w:pPr>
      <w:r>
        <w:t>Log Extraction</w:t>
      </w:r>
    </w:p>
    <w:p w14:paraId="2A042EE2" w14:textId="1251B5D2" w:rsidR="005B7CDC" w:rsidRDefault="00857666" w:rsidP="005B7CDC">
      <w:pPr>
        <w:spacing w:after="240"/>
        <w:jc w:val="both"/>
      </w:pPr>
      <w:r>
        <w:t>Explicit provisions should be made addressing all aspects of access to and extraction of cybersecurity information contained within supplie</w:t>
      </w:r>
      <w:r w:rsidR="002D5648">
        <w:t>d</w:t>
      </w:r>
      <w:r>
        <w:t xml:space="preserve"> </w:t>
      </w:r>
      <w:r w:rsidR="002D5648">
        <w:t xml:space="preserve">component </w:t>
      </w:r>
      <w:r>
        <w:t>logs</w:t>
      </w:r>
      <w:r w:rsidR="005B7CDC">
        <w:t>.</w:t>
      </w:r>
    </w:p>
    <w:p w14:paraId="7D8760D3" w14:textId="6DDC36F6" w:rsidR="005B7CDC" w:rsidRDefault="005B7CDC" w:rsidP="005B7CDC">
      <w:pPr>
        <w:pStyle w:val="Heading2"/>
      </w:pPr>
      <w:r>
        <w:t>Incident Triage</w:t>
      </w:r>
    </w:p>
    <w:p w14:paraId="4D9A7EDB" w14:textId="753BBE6F" w:rsidR="005B7CDC" w:rsidRDefault="00B55D30" w:rsidP="005B7CDC">
      <w:pPr>
        <w:spacing w:after="240"/>
        <w:jc w:val="both"/>
      </w:pPr>
      <w:r>
        <w:t>This item complements issue reporting</w:t>
      </w:r>
      <w:r w:rsidR="005B7CDC">
        <w:t>.</w:t>
      </w:r>
      <w:r>
        <w:t xml:space="preserve"> Issues reported by the customer to the supplier need to have guarantees regarding the timeliness and resource levels to be applied to them. </w:t>
      </w:r>
    </w:p>
    <w:p w14:paraId="4438435A" w14:textId="6732E466" w:rsidR="005B7CDC" w:rsidRDefault="005B7CDC" w:rsidP="005B7CDC">
      <w:pPr>
        <w:pStyle w:val="Heading2"/>
      </w:pPr>
      <w:r>
        <w:t>Update of AVCMDS Information</w:t>
      </w:r>
    </w:p>
    <w:p w14:paraId="3D7CAB70" w14:textId="6408C936" w:rsidR="005B7CDC" w:rsidRDefault="00B55D30" w:rsidP="005B7CDC">
      <w:pPr>
        <w:spacing w:after="240"/>
        <w:jc w:val="both"/>
      </w:pPr>
      <w:r>
        <w:t xml:space="preserve">Given that continuous improvement in cybersecurity posture is </w:t>
      </w:r>
      <w:r w:rsidR="004516F6">
        <w:t>integral to the AVCDL, it is implicitly expected from the supply chain</w:t>
      </w:r>
      <w:r w:rsidR="005B7CDC">
        <w:t>.</w:t>
      </w:r>
      <w:r w:rsidR="004516F6">
        <w:t xml:space="preserve"> The supplier should be required to provide updates when there are substantive changes to their AVCMDS information.</w:t>
      </w:r>
    </w:p>
    <w:p w14:paraId="72C9B60F" w14:textId="63573AFB" w:rsidR="005B7CDC" w:rsidRDefault="005B7CDC" w:rsidP="005B7CDC">
      <w:pPr>
        <w:pStyle w:val="Heading2"/>
      </w:pPr>
      <w:r>
        <w:t xml:space="preserve">Time to </w:t>
      </w:r>
      <w:r w:rsidR="004516F6">
        <w:t>Address</w:t>
      </w:r>
      <w:r>
        <w:t xml:space="preserve"> Customer</w:t>
      </w:r>
      <w:r w:rsidR="004516F6">
        <w:t xml:space="preserve"> R</w:t>
      </w:r>
      <w:r>
        <w:t>eported Issues</w:t>
      </w:r>
    </w:p>
    <w:p w14:paraId="3F5A5D81" w14:textId="7C5E635F" w:rsidR="005B7CDC" w:rsidRDefault="005B7CDC" w:rsidP="005B7CDC">
      <w:pPr>
        <w:spacing w:after="240"/>
        <w:jc w:val="both"/>
      </w:pPr>
      <w:r>
        <w:t>T</w:t>
      </w:r>
      <w:r w:rsidR="004516F6">
        <w:t>he time to address customer reported issues is of great importance</w:t>
      </w:r>
      <w:r>
        <w:t>.</w:t>
      </w:r>
      <w:r w:rsidR="004516F6">
        <w:t xml:space="preserve"> This is especially true the higher up the supply chain that the issue manifests.</w:t>
      </w:r>
    </w:p>
    <w:p w14:paraId="08C1E1AD" w14:textId="32FEEBF8" w:rsidR="005B7CDC" w:rsidRDefault="005B7CDC" w:rsidP="005B7CDC">
      <w:pPr>
        <w:pStyle w:val="Heading2"/>
      </w:pPr>
      <w:r>
        <w:t>SBOM Updates</w:t>
      </w:r>
    </w:p>
    <w:p w14:paraId="10FB6C16" w14:textId="4D3E2159" w:rsidR="005B7CDC" w:rsidRDefault="004516F6" w:rsidP="005B7CDC">
      <w:pPr>
        <w:spacing w:after="240"/>
        <w:jc w:val="both"/>
      </w:pPr>
      <w:r>
        <w:t>As with AVCMDS updates, SBOM updates need to be reported</w:t>
      </w:r>
      <w:r w:rsidR="005B7CDC">
        <w:t>.</w:t>
      </w:r>
      <w:r>
        <w:t xml:space="preserve"> These have not only a cybersecurity impact, but also a legal one.</w:t>
      </w:r>
    </w:p>
    <w:p w14:paraId="0000000C" w14:textId="66B5CB69" w:rsidR="00E27AF5" w:rsidRDefault="008C1D59">
      <w:pPr>
        <w:pStyle w:val="Heading1"/>
      </w:pPr>
      <w:bookmarkStart w:id="5" w:name="_Symbology"/>
      <w:bookmarkStart w:id="6" w:name="_Open_Source_Modification"/>
      <w:bookmarkEnd w:id="5"/>
      <w:bookmarkEnd w:id="6"/>
      <w:r>
        <w:lastRenderedPageBreak/>
        <w:t>References</w:t>
      </w:r>
    </w:p>
    <w:p w14:paraId="0000000D" w14:textId="1AB20C0C" w:rsidR="00E27AF5" w:rsidRPr="00083732" w:rsidRDefault="00A53CB3" w:rsidP="0082660E">
      <w:pPr>
        <w:pStyle w:val="ListParagraph"/>
        <w:numPr>
          <w:ilvl w:val="0"/>
          <w:numId w:val="2"/>
        </w:numPr>
        <w:rPr>
          <w:b/>
        </w:rPr>
      </w:pPr>
      <w:bookmarkStart w:id="7" w:name="ref_01"/>
      <w:bookmarkEnd w:id="7"/>
      <w:r>
        <w:rPr>
          <w:b/>
        </w:rPr>
        <w:t>AVCDL</w:t>
      </w:r>
      <w:r w:rsidR="0082660E">
        <w:rPr>
          <w:b/>
        </w:rPr>
        <w:t xml:space="preserve"> </w:t>
      </w:r>
      <w:r w:rsidR="0082660E" w:rsidRPr="0082660E">
        <w:rPr>
          <w:bCs/>
        </w:rPr>
        <w:t>(primary document)</w:t>
      </w:r>
    </w:p>
    <w:p w14:paraId="3523ACA4" w14:textId="1F14C15A" w:rsidR="008770D0" w:rsidRPr="00E46AF6" w:rsidRDefault="008770D0" w:rsidP="0082660E">
      <w:pPr>
        <w:pStyle w:val="ListParagraph"/>
        <w:numPr>
          <w:ilvl w:val="0"/>
          <w:numId w:val="2"/>
        </w:numPr>
        <w:rPr>
          <w:bCs/>
        </w:rPr>
      </w:pPr>
      <w:r w:rsidRPr="008770D0">
        <w:rPr>
          <w:rStyle w:val="Hyperlink"/>
          <w:b/>
          <w:color w:val="auto"/>
          <w:u w:val="none"/>
        </w:rPr>
        <w:t xml:space="preserve">Understanding </w:t>
      </w:r>
      <w:r w:rsidR="008926EB">
        <w:rPr>
          <w:rStyle w:val="Hyperlink"/>
          <w:b/>
          <w:color w:val="auto"/>
          <w:u w:val="none"/>
        </w:rPr>
        <w:t>Supply Chain Interaction in an AVCDL Context</w:t>
      </w:r>
      <w:r>
        <w:rPr>
          <w:rStyle w:val="Hyperlink"/>
          <w:bCs/>
          <w:color w:val="auto"/>
          <w:u w:val="none"/>
        </w:rPr>
        <w:t xml:space="preserve"> </w:t>
      </w:r>
      <w:r>
        <w:t>(</w:t>
      </w:r>
      <w:r w:rsidRPr="005C5920">
        <w:t>AVCDL</w:t>
      </w:r>
      <w:r>
        <w:t xml:space="preserve"> elaboration document)</w:t>
      </w:r>
    </w:p>
    <w:p w14:paraId="7A4A57F5" w14:textId="6ABEE907" w:rsidR="00E46AF6" w:rsidRPr="00E46AF6" w:rsidRDefault="00E46AF6" w:rsidP="00E46AF6">
      <w:pPr>
        <w:pStyle w:val="ListParagraph"/>
        <w:numPr>
          <w:ilvl w:val="0"/>
          <w:numId w:val="2"/>
        </w:numPr>
        <w:rPr>
          <w:bCs/>
        </w:rPr>
      </w:pPr>
      <w:r>
        <w:rPr>
          <w:rStyle w:val="Hyperlink"/>
          <w:b/>
          <w:color w:val="auto"/>
          <w:u w:val="none"/>
        </w:rPr>
        <w:t xml:space="preserve">Understanding Cybersecurity Interface Agreements </w:t>
      </w:r>
      <w:r>
        <w:t>(</w:t>
      </w:r>
      <w:r w:rsidRPr="005C5920">
        <w:t>AVCDL</w:t>
      </w:r>
      <w:r>
        <w:t xml:space="preserve"> elaboration document)</w:t>
      </w:r>
    </w:p>
    <w:p w14:paraId="3AE52268" w14:textId="073B73CE" w:rsidR="00420DA0" w:rsidRPr="0042531C" w:rsidRDefault="005B7CDC" w:rsidP="00420DA0">
      <w:pPr>
        <w:pStyle w:val="ListParagraph"/>
        <w:numPr>
          <w:ilvl w:val="0"/>
          <w:numId w:val="2"/>
        </w:numPr>
        <w:rPr>
          <w:color w:val="000000" w:themeColor="text1"/>
        </w:rPr>
      </w:pPr>
      <w:r w:rsidRPr="005B7CDC">
        <w:rPr>
          <w:b/>
          <w:bCs/>
          <w:color w:val="000000" w:themeColor="text1"/>
          <w:lang w:val="en-US"/>
        </w:rPr>
        <w:t>Understanding Your Cybersecurity Vendor Contract</w:t>
      </w:r>
      <w:r w:rsidR="00420DA0">
        <w:rPr>
          <w:color w:val="000000" w:themeColor="text1"/>
        </w:rPr>
        <w:br/>
      </w:r>
      <w:hyperlink r:id="rId10" w:history="1">
        <w:r w:rsidRPr="00B6130F">
          <w:rPr>
            <w:rStyle w:val="Hyperlink"/>
          </w:rPr>
          <w:t>https://cyberreadinessinstitute.org/wp-content/uploads/CRI-Guide-4-Reviewing-and-Understanding-Your-Cybersecurity-Vendor-Contract.pdf</w:t>
        </w:r>
      </w:hyperlink>
      <w:r>
        <w:t xml:space="preserve"> </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8420F8">
      <w:footerReference w:type="even"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93DE" w14:textId="77777777" w:rsidR="008420F8" w:rsidRDefault="008420F8" w:rsidP="004834EE">
      <w:pPr>
        <w:spacing w:line="240" w:lineRule="auto"/>
      </w:pPr>
      <w:r>
        <w:separator/>
      </w:r>
    </w:p>
  </w:endnote>
  <w:endnote w:type="continuationSeparator" w:id="0">
    <w:p w14:paraId="2D7587EE" w14:textId="77777777" w:rsidR="008420F8" w:rsidRDefault="008420F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717935E"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1F81">
          <w:rPr>
            <w:rStyle w:val="PageNumber"/>
            <w:noProof/>
          </w:rPr>
          <w:t>3</w: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9259" w14:textId="77777777" w:rsidR="008420F8" w:rsidRDefault="008420F8" w:rsidP="004834EE">
      <w:pPr>
        <w:spacing w:line="240" w:lineRule="auto"/>
      </w:pPr>
      <w:r>
        <w:separator/>
      </w:r>
    </w:p>
  </w:footnote>
  <w:footnote w:type="continuationSeparator" w:id="0">
    <w:p w14:paraId="79ADA4FC" w14:textId="77777777" w:rsidR="008420F8" w:rsidRDefault="008420F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30726"/>
    <w:rsid w:val="000452AE"/>
    <w:rsid w:val="0005191B"/>
    <w:rsid w:val="00060EB8"/>
    <w:rsid w:val="000612AD"/>
    <w:rsid w:val="00075464"/>
    <w:rsid w:val="00083732"/>
    <w:rsid w:val="00087E91"/>
    <w:rsid w:val="00094DFA"/>
    <w:rsid w:val="000A4939"/>
    <w:rsid w:val="000D50B9"/>
    <w:rsid w:val="000E6FDE"/>
    <w:rsid w:val="000E70FC"/>
    <w:rsid w:val="000F107C"/>
    <w:rsid w:val="001024DC"/>
    <w:rsid w:val="00106DBB"/>
    <w:rsid w:val="00114B15"/>
    <w:rsid w:val="00115BDF"/>
    <w:rsid w:val="00120958"/>
    <w:rsid w:val="001212FB"/>
    <w:rsid w:val="00122EB1"/>
    <w:rsid w:val="00126F86"/>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D3973"/>
    <w:rsid w:val="001E14FD"/>
    <w:rsid w:val="001F0E1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2D5648"/>
    <w:rsid w:val="00305649"/>
    <w:rsid w:val="00305E1A"/>
    <w:rsid w:val="00317529"/>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52D6"/>
    <w:rsid w:val="00416C66"/>
    <w:rsid w:val="00417AC8"/>
    <w:rsid w:val="00420DA0"/>
    <w:rsid w:val="00427D60"/>
    <w:rsid w:val="00433899"/>
    <w:rsid w:val="004516F6"/>
    <w:rsid w:val="004519F2"/>
    <w:rsid w:val="00453DD6"/>
    <w:rsid w:val="00462E8E"/>
    <w:rsid w:val="00470DF3"/>
    <w:rsid w:val="004834EE"/>
    <w:rsid w:val="0048405D"/>
    <w:rsid w:val="00485234"/>
    <w:rsid w:val="004868FA"/>
    <w:rsid w:val="0048722D"/>
    <w:rsid w:val="00494B9F"/>
    <w:rsid w:val="004A3F50"/>
    <w:rsid w:val="004A71B8"/>
    <w:rsid w:val="004C0547"/>
    <w:rsid w:val="004D0578"/>
    <w:rsid w:val="004D1E0B"/>
    <w:rsid w:val="004D53F1"/>
    <w:rsid w:val="004D597C"/>
    <w:rsid w:val="004E1900"/>
    <w:rsid w:val="004F43AA"/>
    <w:rsid w:val="00503AC5"/>
    <w:rsid w:val="005076FE"/>
    <w:rsid w:val="00525285"/>
    <w:rsid w:val="005344B5"/>
    <w:rsid w:val="005363DD"/>
    <w:rsid w:val="0054278F"/>
    <w:rsid w:val="005547AF"/>
    <w:rsid w:val="00565035"/>
    <w:rsid w:val="00576889"/>
    <w:rsid w:val="0057743A"/>
    <w:rsid w:val="00577A59"/>
    <w:rsid w:val="005801D5"/>
    <w:rsid w:val="005905AC"/>
    <w:rsid w:val="00595DF0"/>
    <w:rsid w:val="005A04DA"/>
    <w:rsid w:val="005A2418"/>
    <w:rsid w:val="005B7CDC"/>
    <w:rsid w:val="005C2CF7"/>
    <w:rsid w:val="005C5920"/>
    <w:rsid w:val="005D1D65"/>
    <w:rsid w:val="005E4439"/>
    <w:rsid w:val="005E48D1"/>
    <w:rsid w:val="005E7E90"/>
    <w:rsid w:val="005F7210"/>
    <w:rsid w:val="00605CEA"/>
    <w:rsid w:val="00615390"/>
    <w:rsid w:val="00622B9C"/>
    <w:rsid w:val="006265EC"/>
    <w:rsid w:val="006267B9"/>
    <w:rsid w:val="00630D5C"/>
    <w:rsid w:val="0063692C"/>
    <w:rsid w:val="00636EE1"/>
    <w:rsid w:val="0064446E"/>
    <w:rsid w:val="006507F3"/>
    <w:rsid w:val="00655EF3"/>
    <w:rsid w:val="0067035E"/>
    <w:rsid w:val="00676679"/>
    <w:rsid w:val="00683629"/>
    <w:rsid w:val="006849E2"/>
    <w:rsid w:val="00684E9F"/>
    <w:rsid w:val="006862BA"/>
    <w:rsid w:val="00690441"/>
    <w:rsid w:val="00694FDA"/>
    <w:rsid w:val="006A11C9"/>
    <w:rsid w:val="006A35A0"/>
    <w:rsid w:val="006A37CC"/>
    <w:rsid w:val="006C7713"/>
    <w:rsid w:val="006D7E56"/>
    <w:rsid w:val="006E29E2"/>
    <w:rsid w:val="006E2C4F"/>
    <w:rsid w:val="006E3A03"/>
    <w:rsid w:val="006E789A"/>
    <w:rsid w:val="006F0AC2"/>
    <w:rsid w:val="006F5DE3"/>
    <w:rsid w:val="0070427D"/>
    <w:rsid w:val="00710780"/>
    <w:rsid w:val="00712012"/>
    <w:rsid w:val="00714D99"/>
    <w:rsid w:val="007242AE"/>
    <w:rsid w:val="007347F1"/>
    <w:rsid w:val="007368AC"/>
    <w:rsid w:val="00737DA4"/>
    <w:rsid w:val="007537CA"/>
    <w:rsid w:val="00756C86"/>
    <w:rsid w:val="00765FC3"/>
    <w:rsid w:val="00766AEF"/>
    <w:rsid w:val="0078185F"/>
    <w:rsid w:val="00784F03"/>
    <w:rsid w:val="00785C72"/>
    <w:rsid w:val="007B0B5F"/>
    <w:rsid w:val="007B31FC"/>
    <w:rsid w:val="007C1489"/>
    <w:rsid w:val="007C29B5"/>
    <w:rsid w:val="007C4F9E"/>
    <w:rsid w:val="007C5B49"/>
    <w:rsid w:val="007C6AE0"/>
    <w:rsid w:val="007D03F1"/>
    <w:rsid w:val="007D7850"/>
    <w:rsid w:val="007E7652"/>
    <w:rsid w:val="007F7835"/>
    <w:rsid w:val="00807590"/>
    <w:rsid w:val="0082031D"/>
    <w:rsid w:val="00820C0C"/>
    <w:rsid w:val="00820C6F"/>
    <w:rsid w:val="00824990"/>
    <w:rsid w:val="0082660E"/>
    <w:rsid w:val="0083587E"/>
    <w:rsid w:val="008420F8"/>
    <w:rsid w:val="00842F75"/>
    <w:rsid w:val="00843E9D"/>
    <w:rsid w:val="00851E15"/>
    <w:rsid w:val="00857666"/>
    <w:rsid w:val="00857C98"/>
    <w:rsid w:val="00860108"/>
    <w:rsid w:val="008770D0"/>
    <w:rsid w:val="0088387F"/>
    <w:rsid w:val="00885744"/>
    <w:rsid w:val="008926EB"/>
    <w:rsid w:val="008A483D"/>
    <w:rsid w:val="008A5143"/>
    <w:rsid w:val="008B5A91"/>
    <w:rsid w:val="008C1D59"/>
    <w:rsid w:val="008C1F81"/>
    <w:rsid w:val="008E0343"/>
    <w:rsid w:val="008E62FA"/>
    <w:rsid w:val="008F7552"/>
    <w:rsid w:val="008F7B05"/>
    <w:rsid w:val="00900BB4"/>
    <w:rsid w:val="009100C5"/>
    <w:rsid w:val="00913C8C"/>
    <w:rsid w:val="00923ED8"/>
    <w:rsid w:val="00924D8E"/>
    <w:rsid w:val="0094576C"/>
    <w:rsid w:val="00950C33"/>
    <w:rsid w:val="00957724"/>
    <w:rsid w:val="00972820"/>
    <w:rsid w:val="009753BC"/>
    <w:rsid w:val="00975D62"/>
    <w:rsid w:val="009965A7"/>
    <w:rsid w:val="009A73AC"/>
    <w:rsid w:val="009B577E"/>
    <w:rsid w:val="009C6141"/>
    <w:rsid w:val="009D17CB"/>
    <w:rsid w:val="009D3D6B"/>
    <w:rsid w:val="009E3750"/>
    <w:rsid w:val="009E45F1"/>
    <w:rsid w:val="009E508B"/>
    <w:rsid w:val="00A129DD"/>
    <w:rsid w:val="00A21305"/>
    <w:rsid w:val="00A22BF7"/>
    <w:rsid w:val="00A25950"/>
    <w:rsid w:val="00A42295"/>
    <w:rsid w:val="00A44048"/>
    <w:rsid w:val="00A53CB3"/>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B023DF"/>
    <w:rsid w:val="00B049A0"/>
    <w:rsid w:val="00B146C4"/>
    <w:rsid w:val="00B146D0"/>
    <w:rsid w:val="00B2435C"/>
    <w:rsid w:val="00B46F10"/>
    <w:rsid w:val="00B55D30"/>
    <w:rsid w:val="00B60F7D"/>
    <w:rsid w:val="00B61199"/>
    <w:rsid w:val="00B667CA"/>
    <w:rsid w:val="00B67DC8"/>
    <w:rsid w:val="00B70F6F"/>
    <w:rsid w:val="00B95276"/>
    <w:rsid w:val="00BA08AE"/>
    <w:rsid w:val="00BD1980"/>
    <w:rsid w:val="00BD2EA3"/>
    <w:rsid w:val="00BF3712"/>
    <w:rsid w:val="00C12D47"/>
    <w:rsid w:val="00C12DAA"/>
    <w:rsid w:val="00C31187"/>
    <w:rsid w:val="00C50F32"/>
    <w:rsid w:val="00C53756"/>
    <w:rsid w:val="00C61BCB"/>
    <w:rsid w:val="00C7240A"/>
    <w:rsid w:val="00C81700"/>
    <w:rsid w:val="00C97110"/>
    <w:rsid w:val="00CA7DD7"/>
    <w:rsid w:val="00CB1C7B"/>
    <w:rsid w:val="00CB3937"/>
    <w:rsid w:val="00CB48CB"/>
    <w:rsid w:val="00CC0F92"/>
    <w:rsid w:val="00CC792C"/>
    <w:rsid w:val="00CD7BE2"/>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4786"/>
    <w:rsid w:val="00E05458"/>
    <w:rsid w:val="00E11AC0"/>
    <w:rsid w:val="00E228B5"/>
    <w:rsid w:val="00E27AF5"/>
    <w:rsid w:val="00E46AF6"/>
    <w:rsid w:val="00E53676"/>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berreadinessinstitute.org/wp-content/uploads/CRI-Guide-4-Reviewing-and-Understanding-Your-Cybersecurity-Vendor-Contrac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559</Words>
  <Characters>3357</Characters>
  <Application>Microsoft Office Word</Application>
  <DocSecurity>0</DocSecurity>
  <Lines>129</Lines>
  <Paragraphs>97</Paragraphs>
  <ScaleCrop>false</ScaleCrop>
  <HeadingPairs>
    <vt:vector size="2" baseType="variant">
      <vt:variant>
        <vt:lpstr>Title</vt:lpstr>
      </vt:variant>
      <vt:variant>
        <vt:i4>1</vt:i4>
      </vt:variant>
    </vt:vector>
  </HeadingPairs>
  <TitlesOfParts>
    <vt:vector size="1" baseType="lpstr">
      <vt:lpstr>Understanding Service Level Agreements in an AVCDL Context</vt:lpstr>
    </vt:vector>
  </TitlesOfParts>
  <Manager/>
  <Company>Motional</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Service Level Agreements in an AVCDL Context</dc:title>
  <dc:subject>service level agreements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17</cp:revision>
  <dcterms:created xsi:type="dcterms:W3CDTF">2022-08-04T13:19:00Z</dcterms:created>
  <dcterms:modified xsi:type="dcterms:W3CDTF">2024-04-22T14:07:00Z</dcterms:modified>
  <cp:category/>
</cp:coreProperties>
</file>