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FA05A" w14:textId="77777777" w:rsidR="00396A8D" w:rsidRDefault="00396A8D" w:rsidP="00075464">
      <w:pPr>
        <w:pStyle w:val="Heading1"/>
        <w:rPr>
          <w:sz w:val="52"/>
          <w:szCs w:val="52"/>
        </w:rPr>
      </w:pPr>
      <w:r w:rsidRPr="00396A8D">
        <w:rPr>
          <w:sz w:val="52"/>
          <w:szCs w:val="52"/>
        </w:rPr>
        <w:t>Understanding Supplier Cybersecurity Process Mapping</w:t>
      </w:r>
    </w:p>
    <w:p w14:paraId="578FE19B" w14:textId="25374CF2" w:rsidR="00075464" w:rsidRDefault="00B46F10" w:rsidP="00075464">
      <w:pPr>
        <w:pStyle w:val="Heading1"/>
      </w:pPr>
      <w:r>
        <w:t>Revision</w:t>
      </w:r>
    </w:p>
    <w:p w14:paraId="616BB72A" w14:textId="532D5D44" w:rsidR="003A42ED" w:rsidRPr="003A42ED" w:rsidRDefault="003A42ED" w:rsidP="003A42ED">
      <w:r>
        <w:t xml:space="preserve">Version </w:t>
      </w:r>
      <w:r w:rsidR="007112A2">
        <w:t>2</w:t>
      </w:r>
    </w:p>
    <w:p w14:paraId="45CEE66D" w14:textId="04E4B7F6" w:rsidR="00075464" w:rsidRDefault="00075464" w:rsidP="00075464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B326CC">
        <w:rPr>
          <w:noProof/>
        </w:rPr>
        <w:t>7/7/22 11:38 AM</w:t>
      </w:r>
      <w:r>
        <w:fldChar w:fldCharType="end"/>
      </w:r>
    </w:p>
    <w:p w14:paraId="58128635" w14:textId="4E2710AF" w:rsidR="008E62FA" w:rsidRDefault="008E62FA" w:rsidP="008E62FA">
      <w:pPr>
        <w:pStyle w:val="Heading1"/>
      </w:pPr>
      <w:r>
        <w:t>Author</w:t>
      </w:r>
    </w:p>
    <w:p w14:paraId="59B38096" w14:textId="278C88F3" w:rsidR="008E62FA" w:rsidRDefault="008E62FA" w:rsidP="008E62FA">
      <w:pPr>
        <w:jc w:val="both"/>
      </w:pPr>
      <w:r>
        <w:t>Charles Wilson</w:t>
      </w:r>
    </w:p>
    <w:p w14:paraId="00000002" w14:textId="77777777" w:rsidR="00E27AF5" w:rsidRDefault="008C1D59">
      <w:pPr>
        <w:pStyle w:val="Heading1"/>
      </w:pPr>
      <w:r>
        <w:t>Abstract</w:t>
      </w:r>
    </w:p>
    <w:p w14:paraId="00000003" w14:textId="36FA8859" w:rsidR="00E27AF5" w:rsidRDefault="008C1D59">
      <w:pPr>
        <w:jc w:val="both"/>
      </w:pPr>
      <w:r>
        <w:t xml:space="preserve">This document </w:t>
      </w:r>
      <w:r w:rsidR="00950CBB">
        <w:t>explains</w:t>
      </w:r>
      <w:r>
        <w:t xml:space="preserve"> the </w:t>
      </w:r>
      <w:r w:rsidR="0027025E">
        <w:t xml:space="preserve">means by which a supplier’s cybersecurity processes can be mapped onto the </w:t>
      </w:r>
      <w:r w:rsidR="0027025E" w:rsidRPr="0027025E">
        <w:rPr>
          <w:b/>
          <w:bCs/>
        </w:rPr>
        <w:t>AVCDL</w:t>
      </w:r>
      <w:r w:rsidR="0027025E">
        <w:t xml:space="preserve"> phase requirements</w:t>
      </w:r>
      <w:r w:rsidR="00FF0F88">
        <w:t xml:space="preserve"> and products</w:t>
      </w:r>
      <w:r>
        <w:t>.</w:t>
      </w:r>
    </w:p>
    <w:p w14:paraId="67FB0CEB" w14:textId="77777777" w:rsidR="0027025E" w:rsidRDefault="0027025E" w:rsidP="0027025E">
      <w:pPr>
        <w:pStyle w:val="Heading1"/>
      </w:pPr>
      <w:r>
        <w:t>Audience</w:t>
      </w:r>
    </w:p>
    <w:p w14:paraId="252B8C62" w14:textId="57A0577F" w:rsidR="0027025E" w:rsidRDefault="0027025E" w:rsidP="0027025E">
      <w:pPr>
        <w:spacing w:after="240"/>
        <w:jc w:val="both"/>
      </w:pPr>
      <w:r>
        <w:t xml:space="preserve">The audience of this document are those supplier cybersecurity SMEs tasked with interfacing to customers using the </w:t>
      </w:r>
      <w:r w:rsidRPr="003B1797">
        <w:rPr>
          <w:b/>
          <w:bCs/>
        </w:rPr>
        <w:t>AVCDL</w:t>
      </w:r>
      <w:r>
        <w:t xml:space="preserve"> as the basis for their product cybersecurity lifecycle.</w:t>
      </w:r>
    </w:p>
    <w:p w14:paraId="12B54C7E" w14:textId="77777777" w:rsidR="0027025E" w:rsidRDefault="0027025E" w:rsidP="0027025E">
      <w:pPr>
        <w:ind w:left="720" w:hanging="720"/>
        <w:jc w:val="both"/>
      </w:pPr>
      <w:r w:rsidRPr="009A73AC">
        <w:rPr>
          <w:b/>
          <w:bCs/>
          <w:color w:val="0070C0"/>
        </w:rPr>
        <w:t>Note:</w:t>
      </w:r>
      <w:r>
        <w:tab/>
        <w:t>This document is not subject to certification body review.</w:t>
      </w:r>
    </w:p>
    <w:p w14:paraId="655A8BCB" w14:textId="77777777" w:rsidR="003A42ED" w:rsidRDefault="003A42ED" w:rsidP="003A42ED">
      <w:pPr>
        <w:pStyle w:val="Heading1"/>
        <w:jc w:val="both"/>
      </w:pPr>
      <w:r>
        <w:t>License</w:t>
      </w:r>
    </w:p>
    <w:p w14:paraId="5DB1E999" w14:textId="72017757" w:rsidR="003A42ED" w:rsidRDefault="003A42ED" w:rsidP="003A42ED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396A8D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396A8D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4D835662" w14:textId="0D5B8048" w:rsidR="003A42ED" w:rsidRDefault="004F5E53" w:rsidP="003A42ED">
      <w:pPr>
        <w:jc w:val="both"/>
      </w:pPr>
      <w:hyperlink r:id="rId8" w:history="1">
        <w:r w:rsidR="003A42ED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6DE4C710" w14:textId="77777777" w:rsidR="003A42ED" w:rsidRDefault="003A42ED">
      <w:pPr>
        <w:rPr>
          <w:sz w:val="40"/>
          <w:szCs w:val="40"/>
        </w:rPr>
      </w:pPr>
      <w:r>
        <w:br w:type="page"/>
      </w:r>
    </w:p>
    <w:p w14:paraId="00000008" w14:textId="109637BB" w:rsidR="00E27AF5" w:rsidRDefault="008C1D59">
      <w:pPr>
        <w:pStyle w:val="Heading1"/>
      </w:pPr>
      <w:r>
        <w:lastRenderedPageBreak/>
        <w:t>Overview</w:t>
      </w:r>
    </w:p>
    <w:p w14:paraId="0FED1D64" w14:textId="5D84B19D" w:rsidR="00033EB9" w:rsidRDefault="00FF0F88" w:rsidP="00CE63D3">
      <w:pPr>
        <w:spacing w:after="240"/>
        <w:jc w:val="both"/>
      </w:pPr>
      <w:r>
        <w:t xml:space="preserve">Within the context of an organization using the </w:t>
      </w:r>
      <w:r w:rsidRPr="00FF0F88">
        <w:rPr>
          <w:b/>
          <w:bCs/>
        </w:rPr>
        <w:t>AVCDL</w:t>
      </w:r>
      <w:r>
        <w:rPr>
          <w:b/>
          <w:bCs/>
        </w:rPr>
        <w:t xml:space="preserve"> </w:t>
      </w:r>
      <w:r w:rsidRPr="00FF0F88">
        <w:rPr>
          <w:b/>
          <w:bCs/>
          <w:color w:val="0070C0"/>
          <w:vertAlign w:val="superscript"/>
        </w:rPr>
        <w:t>[1]</w:t>
      </w:r>
      <w:r>
        <w:t xml:space="preserve"> as the basis for their product cybersecurity development, t</w:t>
      </w:r>
      <w:r w:rsidR="0088387F">
        <w:t xml:space="preserve">he </w:t>
      </w:r>
      <w:r w:rsidR="0088387F" w:rsidRPr="0024776E">
        <w:rPr>
          <w:b/>
          <w:bCs/>
        </w:rPr>
        <w:t>AVCDL</w:t>
      </w:r>
      <w:r w:rsidR="0088387F">
        <w:t xml:space="preserve"> </w:t>
      </w:r>
      <w:r w:rsidR="00033EB9" w:rsidRPr="00950CBB">
        <w:rPr>
          <w:b/>
          <w:bCs/>
        </w:rPr>
        <w:t>Cybersecurity Interface Agreement</w:t>
      </w:r>
      <w:r>
        <w:rPr>
          <w:b/>
          <w:bCs/>
        </w:rPr>
        <w:t xml:space="preserve"> </w:t>
      </w:r>
      <w:r w:rsidRPr="00FF0F88">
        <w:rPr>
          <w:b/>
          <w:bCs/>
          <w:color w:val="0070C0"/>
          <w:vertAlign w:val="superscript"/>
        </w:rPr>
        <w:t>[2]</w:t>
      </w:r>
      <w:r w:rsidR="00033EB9">
        <w:t xml:space="preserve"> is </w:t>
      </w:r>
      <w:r w:rsidR="007112A2">
        <w:t xml:space="preserve">the </w:t>
      </w:r>
      <w:r>
        <w:t xml:space="preserve">instrument used to codify the supplier – customer relationship from a cybersecurity standpoint. Key to the process of completing the cybersecurity interface agreement is the establishment of a basis for determining whether the supplier cybersecurity processes are sufficient to achieve compliance with applicable regulatory standards. Since the </w:t>
      </w:r>
      <w:r w:rsidRPr="00E1499D">
        <w:rPr>
          <w:b/>
          <w:bCs/>
        </w:rPr>
        <w:t>AVCDL</w:t>
      </w:r>
      <w:r>
        <w:t xml:space="preserve"> is compliant with all known standards, it is the basis</w:t>
      </w:r>
      <w:r w:rsidR="00E1499D">
        <w:t xml:space="preserve"> to be used.</w:t>
      </w:r>
    </w:p>
    <w:p w14:paraId="09ECA6C8" w14:textId="598F0E95" w:rsidR="00E1499D" w:rsidRDefault="00E1499D" w:rsidP="00CE63D3">
      <w:pPr>
        <w:spacing w:after="240"/>
        <w:jc w:val="both"/>
      </w:pPr>
      <w:r>
        <w:t xml:space="preserve">In cases where the supplier has few or no formal cybersecurity processes, the </w:t>
      </w:r>
      <w:r w:rsidRPr="00E1499D">
        <w:rPr>
          <w:b/>
          <w:bCs/>
        </w:rPr>
        <w:t>AVCDL</w:t>
      </w:r>
      <w:r>
        <w:t xml:space="preserve"> may be adopted by the supplier directly. In cases where the supplier has established cybersecurity processes, it is necessary to create a mapping from those to the corresponding </w:t>
      </w:r>
      <w:r w:rsidRPr="00E1499D">
        <w:rPr>
          <w:b/>
          <w:bCs/>
        </w:rPr>
        <w:t>AVCDL</w:t>
      </w:r>
      <w:r>
        <w:t xml:space="preserve"> processes and evaluate whether the vendor processes are sufficient or require augmentation in order to achieve compliance.</w:t>
      </w:r>
    </w:p>
    <w:p w14:paraId="20CADF11" w14:textId="2E5A8730" w:rsidR="003050FA" w:rsidRDefault="003050FA" w:rsidP="003050FA">
      <w:pPr>
        <w:spacing w:after="240" w:line="240" w:lineRule="auto"/>
        <w:jc w:val="both"/>
      </w:pPr>
      <w:bookmarkStart w:id="0" w:name="_ka2wojif16d2" w:colFirst="0" w:colLast="0"/>
      <w:bookmarkEnd w:id="0"/>
      <w:r>
        <w:t xml:space="preserve">The following is the overview of the </w:t>
      </w:r>
      <w:r w:rsidR="00E1499D">
        <w:t>workflow to be applied to make these determinations</w:t>
      </w:r>
      <w:r>
        <w:t>.</w:t>
      </w:r>
    </w:p>
    <w:p w14:paraId="27995082" w14:textId="57A7001B" w:rsidR="006B5232" w:rsidRDefault="003050F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CBBEF04" wp14:editId="752328C3">
            <wp:extent cx="5943600" cy="2943860"/>
            <wp:effectExtent l="0" t="0" r="0" b="254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232">
        <w:br w:type="page"/>
      </w:r>
    </w:p>
    <w:p w14:paraId="49A478AB" w14:textId="69B7F178" w:rsidR="00B93D6D" w:rsidRDefault="003050FA" w:rsidP="00D602F9">
      <w:pPr>
        <w:pStyle w:val="Heading1"/>
      </w:pPr>
      <w:r>
        <w:lastRenderedPageBreak/>
        <w:t>Process</w:t>
      </w:r>
    </w:p>
    <w:p w14:paraId="580393CF" w14:textId="77777777" w:rsidR="003050FA" w:rsidRDefault="003050FA" w:rsidP="003050FA">
      <w:pPr>
        <w:pStyle w:val="Heading2"/>
        <w:jc w:val="both"/>
      </w:pPr>
      <w:bookmarkStart w:id="1" w:name="_Detail_Cybersecurity_Processes"/>
      <w:bookmarkEnd w:id="1"/>
      <w:r>
        <w:t>Detail Cybersecurity Processes</w:t>
      </w:r>
    </w:p>
    <w:tbl>
      <w:tblPr>
        <w:tblW w:w="7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5412"/>
      </w:tblGrid>
      <w:tr w:rsidR="003050FA" w14:paraId="4328A918" w14:textId="77777777" w:rsidTr="003050FA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A5BC5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5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39551" w14:textId="77777777" w:rsidR="003050FA" w:rsidRDefault="003050FA" w:rsidP="002C0E13">
            <w:pPr>
              <w:widowControl w:val="0"/>
              <w:spacing w:line="240" w:lineRule="auto"/>
            </w:pPr>
            <w:r>
              <w:t>Vendor process document set</w:t>
            </w:r>
          </w:p>
          <w:p w14:paraId="2314BB9F" w14:textId="77777777" w:rsidR="003050FA" w:rsidRDefault="003050FA" w:rsidP="002C0E13">
            <w:pPr>
              <w:widowControl w:val="0"/>
              <w:spacing w:line="240" w:lineRule="auto"/>
            </w:pPr>
            <w:r>
              <w:t>AVCDL document set</w:t>
            </w:r>
          </w:p>
          <w:p w14:paraId="6BAF67A9" w14:textId="6032CD35" w:rsidR="003050FA" w:rsidRDefault="003050FA" w:rsidP="002C0E13">
            <w:pPr>
              <w:widowControl w:val="0"/>
              <w:spacing w:line="240" w:lineRule="auto"/>
            </w:pPr>
            <w:r>
              <w:t>Vendor process – AVCDL product mapping template</w:t>
            </w:r>
          </w:p>
        </w:tc>
      </w:tr>
      <w:tr w:rsidR="003050FA" w14:paraId="629605B4" w14:textId="77777777" w:rsidTr="003050FA">
        <w:trPr>
          <w:trHeight w:val="16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BCA60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5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9266" w14:textId="34F1AA55" w:rsidR="003050FA" w:rsidRDefault="003050FA" w:rsidP="002C0E13">
            <w:pPr>
              <w:widowControl w:val="0"/>
              <w:spacing w:line="240" w:lineRule="auto"/>
            </w:pPr>
            <w:r>
              <w:t>Vendor – AVCDL map (vendor processes added)</w:t>
            </w:r>
          </w:p>
        </w:tc>
      </w:tr>
      <w:tr w:rsidR="003050FA" w14:paraId="16062A07" w14:textId="77777777" w:rsidTr="003050FA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5C280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5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88DC" w14:textId="2EFD3345" w:rsidR="003050FA" w:rsidRDefault="003050FA" w:rsidP="002C0E13">
            <w:pPr>
              <w:widowControl w:val="0"/>
              <w:spacing w:line="240" w:lineRule="auto"/>
            </w:pPr>
            <w:r>
              <w:t>Supplier security SME</w:t>
            </w:r>
          </w:p>
        </w:tc>
      </w:tr>
    </w:tbl>
    <w:p w14:paraId="05871AAD" w14:textId="77777777" w:rsidR="003050FA" w:rsidRDefault="003050FA" w:rsidP="003050FA"/>
    <w:p w14:paraId="2B1700F1" w14:textId="77777777" w:rsidR="003050FA" w:rsidRDefault="003050FA" w:rsidP="003050FA">
      <w:pPr>
        <w:jc w:val="center"/>
      </w:pPr>
      <w:r>
        <w:rPr>
          <w:noProof/>
        </w:rPr>
        <w:drawing>
          <wp:inline distT="0" distB="0" distL="0" distR="0" wp14:anchorId="3531C02E" wp14:editId="50A67BDA">
            <wp:extent cx="3591408" cy="4414439"/>
            <wp:effectExtent l="0" t="0" r="3175" b="571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08" cy="441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E9D4" w14:textId="77777777" w:rsidR="003050FA" w:rsidRDefault="003050FA" w:rsidP="003050FA"/>
    <w:p w14:paraId="53C21106" w14:textId="1066C37E" w:rsidR="002D5B51" w:rsidRDefault="000A570B" w:rsidP="003050FA">
      <w:pPr>
        <w:spacing w:after="240"/>
        <w:jc w:val="both"/>
      </w:pPr>
      <w:r>
        <w:t xml:space="preserve">Using the </w:t>
      </w:r>
      <w:r w:rsidRPr="002D5B51">
        <w:rPr>
          <w:b/>
          <w:bCs/>
        </w:rPr>
        <w:t>AVCDL document set</w:t>
      </w:r>
      <w:r>
        <w:t xml:space="preserve"> and </w:t>
      </w:r>
      <w:r w:rsidRPr="002D5B51">
        <w:rPr>
          <w:b/>
          <w:bCs/>
        </w:rPr>
        <w:t>vendor process document set</w:t>
      </w:r>
      <w:r>
        <w:t>, the supplier security SME details their cybersecurity processes</w:t>
      </w:r>
      <w:r w:rsidR="002D5B51">
        <w:t xml:space="preserve"> in an instantiation of the </w:t>
      </w:r>
      <w:r w:rsidR="002D5B51" w:rsidRPr="002D5B51">
        <w:rPr>
          <w:b/>
          <w:bCs/>
        </w:rPr>
        <w:t>vendor process – AVCDL product mapping template</w:t>
      </w:r>
      <w:r w:rsidR="00042FBE">
        <w:rPr>
          <w:b/>
          <w:bCs/>
        </w:rPr>
        <w:t xml:space="preserve"> </w:t>
      </w:r>
      <w:r w:rsidR="00042FBE" w:rsidRPr="00042FBE">
        <w:rPr>
          <w:b/>
          <w:bCs/>
          <w:color w:val="0070C0"/>
          <w:vertAlign w:val="superscript"/>
        </w:rPr>
        <w:t>[3]</w:t>
      </w:r>
      <w:r w:rsidR="003050FA">
        <w:t>.</w:t>
      </w:r>
      <w:r w:rsidR="002D5B51">
        <w:t xml:space="preserve"> More specifically, the supplier security SME will use the template’s </w:t>
      </w:r>
      <w:hyperlink w:anchor="_434_req-AVCDL_product" w:history="1">
        <w:r w:rsidR="002D5B51" w:rsidRPr="002D5B51">
          <w:rPr>
            <w:rStyle w:val="Hyperlink"/>
            <w:b/>
            <w:bCs/>
          </w:rPr>
          <w:t>434 req-AVCDL product</w:t>
        </w:r>
      </w:hyperlink>
      <w:r w:rsidR="002D5B51">
        <w:t xml:space="preserve"> sheet as a baseline and adjust the </w:t>
      </w:r>
      <w:hyperlink w:anchor="_434_req-vendor_process" w:history="1">
        <w:r w:rsidR="002D5B51" w:rsidRPr="002D5B51">
          <w:rPr>
            <w:rStyle w:val="Hyperlink"/>
            <w:b/>
            <w:bCs/>
          </w:rPr>
          <w:t>434 req-vendor process</w:t>
        </w:r>
      </w:hyperlink>
      <w:r w:rsidR="002D5B51">
        <w:rPr>
          <w:b/>
          <w:bCs/>
        </w:rPr>
        <w:t xml:space="preserve"> </w:t>
      </w:r>
      <w:r w:rsidR="002D5B51">
        <w:t xml:space="preserve">sheet to show their processes across the top in place of the </w:t>
      </w:r>
      <w:r w:rsidR="002D5B51" w:rsidRPr="002D5B51">
        <w:rPr>
          <w:b/>
          <w:bCs/>
        </w:rPr>
        <w:t>AVCDL</w:t>
      </w:r>
      <w:r w:rsidR="002D5B51">
        <w:t xml:space="preserve"> ones.</w:t>
      </w:r>
    </w:p>
    <w:p w14:paraId="2B54B39C" w14:textId="6C66AB01" w:rsidR="002D5B51" w:rsidRDefault="002D5B51" w:rsidP="003050FA">
      <w:pPr>
        <w:spacing w:after="240"/>
        <w:jc w:val="both"/>
      </w:pPr>
      <w:r>
        <w:lastRenderedPageBreak/>
        <w:t xml:space="preserve">Then using the same information, the supplier security SME will complete the </w:t>
      </w:r>
      <w:r w:rsidRPr="00340CBF">
        <w:rPr>
          <w:b/>
          <w:bCs/>
        </w:rPr>
        <w:t>434 req-vendor process</w:t>
      </w:r>
      <w:r>
        <w:rPr>
          <w:b/>
          <w:bCs/>
        </w:rPr>
        <w:t xml:space="preserve"> </w:t>
      </w:r>
      <w:r>
        <w:t xml:space="preserve">sheet’s matrix to indicate the </w:t>
      </w:r>
      <w:r w:rsidRPr="002D5B51">
        <w:rPr>
          <w:b/>
          <w:bCs/>
        </w:rPr>
        <w:t>ISO 21434</w:t>
      </w:r>
      <w:r>
        <w:t xml:space="preserve"> requirements they satisfy with their processes. The resultant completed instantiation is a </w:t>
      </w:r>
      <w:r w:rsidRPr="002D5B51">
        <w:rPr>
          <w:b/>
          <w:bCs/>
        </w:rPr>
        <w:t>vendor – AVCDL map (vendor processes added)</w:t>
      </w:r>
      <w:r>
        <w:t>.</w:t>
      </w:r>
    </w:p>
    <w:p w14:paraId="3E481E84" w14:textId="77777777" w:rsidR="003050FA" w:rsidRDefault="003050FA">
      <w:pPr>
        <w:rPr>
          <w:sz w:val="32"/>
          <w:szCs w:val="32"/>
        </w:rPr>
      </w:pPr>
      <w:r>
        <w:br w:type="page"/>
      </w:r>
    </w:p>
    <w:p w14:paraId="67FFB61C" w14:textId="1DEA3D8D" w:rsidR="003050FA" w:rsidRDefault="003050FA" w:rsidP="003050FA">
      <w:pPr>
        <w:pStyle w:val="Heading2"/>
        <w:jc w:val="both"/>
      </w:pPr>
      <w:bookmarkStart w:id="2" w:name="_Create_Vendor_–"/>
      <w:bookmarkEnd w:id="2"/>
      <w:r>
        <w:lastRenderedPageBreak/>
        <w:t>Create Vendor – AVCDL mapping</w:t>
      </w:r>
    </w:p>
    <w:tbl>
      <w:tblPr>
        <w:tblW w:w="5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3522"/>
      </w:tblGrid>
      <w:tr w:rsidR="003050FA" w14:paraId="638405FD" w14:textId="77777777" w:rsidTr="003050FA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A3BFE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bookmarkStart w:id="3" w:name="_ye5p5nl2nm8x" w:colFirst="0" w:colLast="0"/>
            <w:bookmarkEnd w:id="3"/>
            <w:r w:rsidRPr="00DC7542">
              <w:rPr>
                <w:b/>
                <w:bCs/>
              </w:rPr>
              <w:t>Inputs</w:t>
            </w: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C67B9" w14:textId="785D1691" w:rsidR="003050FA" w:rsidRDefault="003050FA" w:rsidP="002C0E13">
            <w:pPr>
              <w:widowControl w:val="0"/>
              <w:spacing w:line="240" w:lineRule="auto"/>
            </w:pPr>
            <w:r>
              <w:t>Vendor – AVCDL map</w:t>
            </w:r>
          </w:p>
        </w:tc>
      </w:tr>
      <w:tr w:rsidR="003050FA" w14:paraId="2066B79C" w14:textId="77777777" w:rsidTr="003050FA">
        <w:trPr>
          <w:trHeight w:val="16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69652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C754" w14:textId="60584FC9" w:rsidR="003050FA" w:rsidRDefault="003050FA" w:rsidP="002C0E13">
            <w:pPr>
              <w:widowControl w:val="0"/>
              <w:spacing w:line="240" w:lineRule="auto"/>
            </w:pPr>
            <w:r>
              <w:t>Completed vendor – AVCDL map</w:t>
            </w:r>
          </w:p>
        </w:tc>
      </w:tr>
      <w:tr w:rsidR="003050FA" w14:paraId="45A7523D" w14:textId="77777777" w:rsidTr="003050FA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EAA33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27CB" w14:textId="41019791" w:rsidR="003050FA" w:rsidRDefault="003050FA" w:rsidP="002C0E13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3F0AD08B" w14:textId="77777777" w:rsidR="003050FA" w:rsidRDefault="003050FA" w:rsidP="003050FA"/>
    <w:p w14:paraId="1CEF2AEE" w14:textId="77777777" w:rsidR="003050FA" w:rsidRDefault="003050FA" w:rsidP="003050FA">
      <w:pPr>
        <w:jc w:val="center"/>
      </w:pPr>
      <w:r>
        <w:rPr>
          <w:noProof/>
        </w:rPr>
        <w:drawing>
          <wp:inline distT="0" distB="0" distL="0" distR="0" wp14:anchorId="62397EC3" wp14:editId="34DAADCE">
            <wp:extent cx="3416396" cy="4413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619" cy="441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BC69" w14:textId="77777777" w:rsidR="003050FA" w:rsidRDefault="003050FA" w:rsidP="003050FA"/>
    <w:p w14:paraId="4D9EDAB7" w14:textId="2A1FB1EC" w:rsidR="003050FA" w:rsidRDefault="002D5B51" w:rsidP="003050FA">
      <w:pPr>
        <w:spacing w:after="240"/>
        <w:jc w:val="both"/>
      </w:pPr>
      <w:r>
        <w:t xml:space="preserve">Using the </w:t>
      </w:r>
      <w:r w:rsidRPr="002D5B51">
        <w:rPr>
          <w:b/>
          <w:bCs/>
        </w:rPr>
        <w:t>vendor – AVCDL map (vendor processes added)</w:t>
      </w:r>
      <w:r>
        <w:t xml:space="preserve">, the security SME </w:t>
      </w:r>
      <w:r w:rsidR="00D5762A">
        <w:t xml:space="preserve">uses the information populated in the </w:t>
      </w:r>
      <w:hyperlink w:anchor="_434_req-vendor_process" w:history="1">
        <w:r w:rsidR="00D5762A" w:rsidRPr="00A400D4">
          <w:rPr>
            <w:rStyle w:val="Hyperlink"/>
            <w:b/>
            <w:bCs/>
          </w:rPr>
          <w:t>434 req-vendor process</w:t>
        </w:r>
      </w:hyperlink>
      <w:r w:rsidR="00D5762A">
        <w:rPr>
          <w:b/>
          <w:bCs/>
        </w:rPr>
        <w:t xml:space="preserve"> </w:t>
      </w:r>
      <w:r w:rsidR="00D5762A">
        <w:t xml:space="preserve">sheet to construct a mapping in </w:t>
      </w:r>
      <w:r>
        <w:t xml:space="preserve">the </w:t>
      </w:r>
      <w:hyperlink w:anchor="_AVCDL-vendor_process" w:history="1">
        <w:r w:rsidRPr="00D5762A">
          <w:rPr>
            <w:rStyle w:val="Hyperlink"/>
            <w:b/>
            <w:bCs/>
          </w:rPr>
          <w:t>AVCDL-vendor process</w:t>
        </w:r>
      </w:hyperlink>
      <w:r w:rsidR="00D5762A">
        <w:t xml:space="preserve"> sheet.</w:t>
      </w:r>
      <w:r>
        <w:t xml:space="preserve"> </w:t>
      </w:r>
      <w:r w:rsidR="00A400D4">
        <w:t xml:space="preserve">The security SME will fill out the </w:t>
      </w:r>
      <w:hyperlink w:anchor="_AVCDL-vendor_process" w:history="1">
        <w:r w:rsidR="00BC3213" w:rsidRPr="00BC3213">
          <w:rPr>
            <w:rStyle w:val="Hyperlink"/>
            <w:b/>
            <w:bCs/>
          </w:rPr>
          <w:t>AVCDL-vendor process</w:t>
        </w:r>
      </w:hyperlink>
      <w:r w:rsidR="00BC3213">
        <w:rPr>
          <w:b/>
          <w:bCs/>
        </w:rPr>
        <w:t xml:space="preserve"> </w:t>
      </w:r>
      <w:r w:rsidR="00A400D4">
        <w:t xml:space="preserve">sheet’s matrix to show process coverage with respect to the </w:t>
      </w:r>
      <w:r w:rsidR="00A400D4" w:rsidRPr="00A400D4">
        <w:rPr>
          <w:b/>
          <w:bCs/>
        </w:rPr>
        <w:t>AVCDL</w:t>
      </w:r>
      <w:r w:rsidR="00A400D4">
        <w:t xml:space="preserve">. The result will be a </w:t>
      </w:r>
      <w:r w:rsidR="00A400D4">
        <w:rPr>
          <w:b/>
          <w:bCs/>
        </w:rPr>
        <w:t>completed vendor – AVCDL map</w:t>
      </w:r>
      <w:r w:rsidR="003050FA">
        <w:t>.</w:t>
      </w:r>
    </w:p>
    <w:p w14:paraId="6D030ADF" w14:textId="77777777" w:rsidR="003050FA" w:rsidRDefault="003050FA">
      <w:pPr>
        <w:rPr>
          <w:sz w:val="40"/>
          <w:szCs w:val="40"/>
        </w:rPr>
      </w:pPr>
      <w:r>
        <w:br w:type="page"/>
      </w:r>
    </w:p>
    <w:p w14:paraId="16C9F9C0" w14:textId="3E0B13B2" w:rsidR="003050FA" w:rsidRDefault="003050FA" w:rsidP="003050FA">
      <w:pPr>
        <w:pStyle w:val="Heading2"/>
        <w:jc w:val="both"/>
      </w:pPr>
      <w:r>
        <w:lastRenderedPageBreak/>
        <w:t>Verify Vendor – AVCDL Mapping</w:t>
      </w:r>
    </w:p>
    <w:tbl>
      <w:tblPr>
        <w:tblW w:w="5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3702"/>
      </w:tblGrid>
      <w:tr w:rsidR="003050FA" w14:paraId="6EA23AA0" w14:textId="77777777" w:rsidTr="003050FA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F0561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3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30C7" w14:textId="6E9D858D" w:rsidR="003050FA" w:rsidRDefault="003050FA" w:rsidP="002C0E13">
            <w:pPr>
              <w:widowControl w:val="0"/>
              <w:spacing w:line="240" w:lineRule="auto"/>
            </w:pPr>
            <w:r>
              <w:t>Completed vendor – AVCDL map</w:t>
            </w:r>
          </w:p>
        </w:tc>
      </w:tr>
      <w:tr w:rsidR="003050FA" w14:paraId="6FD465EE" w14:textId="77777777" w:rsidTr="003050FA">
        <w:trPr>
          <w:trHeight w:val="16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00189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3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8E72" w14:textId="582727F6" w:rsidR="003050FA" w:rsidRDefault="003050FA" w:rsidP="002C0E13">
            <w:pPr>
              <w:widowControl w:val="0"/>
              <w:spacing w:line="240" w:lineRule="auto"/>
            </w:pPr>
            <w:r>
              <w:t>Verified vendor – AVCDL map</w:t>
            </w:r>
          </w:p>
        </w:tc>
      </w:tr>
      <w:tr w:rsidR="003050FA" w14:paraId="0B66A91E" w14:textId="77777777" w:rsidTr="003050FA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75658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3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439D" w14:textId="71844263" w:rsidR="003050FA" w:rsidRDefault="003050FA" w:rsidP="002C0E13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7C729785" w14:textId="77777777" w:rsidR="003050FA" w:rsidRDefault="003050FA" w:rsidP="003050FA"/>
    <w:p w14:paraId="532BCF4A" w14:textId="77777777" w:rsidR="003050FA" w:rsidRDefault="003050FA" w:rsidP="003050FA">
      <w:pPr>
        <w:jc w:val="center"/>
      </w:pPr>
      <w:r>
        <w:rPr>
          <w:noProof/>
        </w:rPr>
        <w:drawing>
          <wp:inline distT="0" distB="0" distL="0" distR="0" wp14:anchorId="7E0B32CF" wp14:editId="7DD5D02A">
            <wp:extent cx="3749363" cy="4414439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3" cy="441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1B08" w14:textId="77777777" w:rsidR="003050FA" w:rsidRDefault="003050FA" w:rsidP="003050FA"/>
    <w:p w14:paraId="1565D0E2" w14:textId="5AFF7972" w:rsidR="003050FA" w:rsidRDefault="00BC3213" w:rsidP="003050FA">
      <w:pPr>
        <w:spacing w:after="240"/>
        <w:jc w:val="both"/>
      </w:pPr>
      <w:r>
        <w:t>T</w:t>
      </w:r>
      <w:r w:rsidR="00A400D4">
        <w:t>he</w:t>
      </w:r>
      <w:r w:rsidRPr="00BC3213">
        <w:t xml:space="preserve"> </w:t>
      </w:r>
      <w:r>
        <w:t>security SME will review</w:t>
      </w:r>
      <w:r w:rsidR="00A400D4">
        <w:t xml:space="preserve"> </w:t>
      </w:r>
      <w:r>
        <w:rPr>
          <w:b/>
          <w:bCs/>
        </w:rPr>
        <w:t>completed vendor – AVCDL map</w:t>
      </w:r>
      <w:r>
        <w:t>‘s</w:t>
      </w:r>
      <w:r w:rsidR="00A400D4">
        <w:t xml:space="preserve"> </w:t>
      </w:r>
      <w:hyperlink w:anchor="_AVCDL-vendor_process" w:history="1">
        <w:r w:rsidR="00A400D4" w:rsidRPr="00D5762A">
          <w:rPr>
            <w:rStyle w:val="Hyperlink"/>
            <w:b/>
            <w:bCs/>
          </w:rPr>
          <w:t>AVCDL-vendor process</w:t>
        </w:r>
      </w:hyperlink>
      <w:r w:rsidR="00A400D4">
        <w:t xml:space="preserve"> sheet. </w:t>
      </w:r>
      <w:r>
        <w:t>If there is a lack of coverage in the supplier processes this is documented and returned to the supplier noting that their coverage has an incomplete mapping</w:t>
      </w:r>
      <w:r w:rsidR="00A400D4">
        <w:t xml:space="preserve">. </w:t>
      </w:r>
      <w:r w:rsidR="00787E7C">
        <w:t>Otherwise,</w:t>
      </w:r>
      <w:r>
        <w:t xml:space="preserve"> the</w:t>
      </w:r>
      <w:r w:rsidR="00787E7C">
        <w:t xml:space="preserve"> document</w:t>
      </w:r>
      <w:r w:rsidR="00A400D4">
        <w:t xml:space="preserve"> will be a </w:t>
      </w:r>
      <w:r w:rsidR="00787E7C">
        <w:rPr>
          <w:b/>
          <w:bCs/>
        </w:rPr>
        <w:t>verified</w:t>
      </w:r>
      <w:r w:rsidR="00A400D4">
        <w:rPr>
          <w:b/>
          <w:bCs/>
        </w:rPr>
        <w:t xml:space="preserve"> vendor – AVCDL map</w:t>
      </w:r>
      <w:r w:rsidR="003050FA">
        <w:t>.</w:t>
      </w:r>
    </w:p>
    <w:p w14:paraId="43ABC21F" w14:textId="0ED8B524" w:rsidR="00787E7C" w:rsidRDefault="00787E7C" w:rsidP="00787E7C">
      <w:pPr>
        <w:spacing w:after="240"/>
        <w:ind w:left="720" w:hanging="720"/>
        <w:jc w:val="both"/>
      </w:pPr>
      <w:r w:rsidRPr="00787E7C">
        <w:rPr>
          <w:b/>
          <w:bCs/>
          <w:color w:val="0070C0"/>
        </w:rPr>
        <w:t>Note:</w:t>
      </w:r>
      <w:r w:rsidRPr="00787E7C">
        <w:rPr>
          <w:b/>
          <w:bCs/>
          <w:color w:val="0070C0"/>
        </w:rPr>
        <w:tab/>
      </w:r>
      <w:r>
        <w:t xml:space="preserve">Deficiencies in vendor process coverage against the </w:t>
      </w:r>
      <w:r w:rsidRPr="00787E7C">
        <w:rPr>
          <w:b/>
          <w:bCs/>
        </w:rPr>
        <w:t>AVCDL</w:t>
      </w:r>
      <w:r>
        <w:t xml:space="preserve"> should be handled in the same manner as with suppliers adopting the </w:t>
      </w:r>
      <w:r w:rsidRPr="00787E7C">
        <w:rPr>
          <w:b/>
          <w:bCs/>
        </w:rPr>
        <w:t>AVCDL</w:t>
      </w:r>
      <w:r>
        <w:t>.</w:t>
      </w:r>
    </w:p>
    <w:p w14:paraId="2CCAD781" w14:textId="77777777" w:rsidR="003050FA" w:rsidRDefault="003050FA">
      <w:pPr>
        <w:rPr>
          <w:sz w:val="40"/>
          <w:szCs w:val="40"/>
        </w:rPr>
      </w:pPr>
      <w:r>
        <w:br w:type="page"/>
      </w:r>
    </w:p>
    <w:p w14:paraId="77A795D4" w14:textId="24C439EE" w:rsidR="0038056D" w:rsidRDefault="0038056D" w:rsidP="0038056D">
      <w:pPr>
        <w:pStyle w:val="Heading1"/>
      </w:pPr>
      <w:r>
        <w:lastRenderedPageBreak/>
        <w:t>Template</w:t>
      </w:r>
    </w:p>
    <w:p w14:paraId="16EF1749" w14:textId="2FA7F808" w:rsidR="0038056D" w:rsidRPr="0038056D" w:rsidRDefault="0038056D" w:rsidP="00E072F7">
      <w:pPr>
        <w:spacing w:after="240"/>
        <w:jc w:val="both"/>
      </w:pPr>
      <w:r>
        <w:t xml:space="preserve">There are three sheets to the </w:t>
      </w:r>
      <w:r w:rsidRPr="0038056D">
        <w:rPr>
          <w:b/>
          <w:bCs/>
        </w:rPr>
        <w:t>vendor process - AVCDL product mapping</w:t>
      </w:r>
      <w:r>
        <w:t xml:space="preserve"> template. We’ll examine each in turn.</w:t>
      </w:r>
    </w:p>
    <w:p w14:paraId="108A544A" w14:textId="77777777" w:rsidR="0038056D" w:rsidRDefault="0038056D" w:rsidP="0038056D">
      <w:pPr>
        <w:pStyle w:val="Heading2"/>
      </w:pPr>
      <w:bookmarkStart w:id="4" w:name="_434_req-AVCDL_product"/>
      <w:bookmarkEnd w:id="4"/>
      <w:r w:rsidRPr="0038056D">
        <w:t>434 req-AVCDL product</w:t>
      </w:r>
    </w:p>
    <w:p w14:paraId="15E70226" w14:textId="5A4A2965" w:rsidR="0038056D" w:rsidRPr="0038056D" w:rsidRDefault="0038056D" w:rsidP="00E072F7">
      <w:pPr>
        <w:spacing w:after="240"/>
        <w:jc w:val="both"/>
      </w:pPr>
      <w:r>
        <w:t xml:space="preserve">This </w:t>
      </w:r>
      <w:r w:rsidRPr="0038056D">
        <w:rPr>
          <w:b/>
          <w:bCs/>
        </w:rPr>
        <w:t>434 req-AVCDL product</w:t>
      </w:r>
      <w:r>
        <w:t xml:space="preserve"> sheet is copied from the </w:t>
      </w:r>
      <w:r w:rsidRPr="0038056D">
        <w:rPr>
          <w:b/>
          <w:bCs/>
        </w:rPr>
        <w:t>AVCDL mappings</w:t>
      </w:r>
      <w:r>
        <w:t xml:space="preserve"> workbook sheet by the same name.</w:t>
      </w:r>
    </w:p>
    <w:p w14:paraId="3ED3EB34" w14:textId="2058C94E" w:rsidR="0038056D" w:rsidRDefault="0038056D" w:rsidP="0038056D">
      <w:pPr>
        <w:spacing w:after="240"/>
      </w:pPr>
      <w:r>
        <w:rPr>
          <w:noProof/>
        </w:rPr>
        <w:drawing>
          <wp:inline distT="0" distB="0" distL="0" distR="0" wp14:anchorId="092F7F38" wp14:editId="0BE9B2D2">
            <wp:extent cx="5943600" cy="3411855"/>
            <wp:effectExtent l="0" t="0" r="0" b="4445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537D" w14:textId="0BF9EA3B" w:rsidR="007B1ABB" w:rsidRDefault="0038056D" w:rsidP="007B1ABB">
      <w:pPr>
        <w:spacing w:after="240"/>
        <w:jc w:val="both"/>
      </w:pPr>
      <w:r>
        <w:t xml:space="preserve">Rows are </w:t>
      </w:r>
      <w:r w:rsidRPr="007B1ABB">
        <w:rPr>
          <w:b/>
          <w:bCs/>
        </w:rPr>
        <w:t>ISO 21434</w:t>
      </w:r>
      <w:r>
        <w:t xml:space="preserve"> requirements and associated work products. Columns are </w:t>
      </w:r>
      <w:r w:rsidRPr="007B1ABB">
        <w:rPr>
          <w:b/>
          <w:bCs/>
        </w:rPr>
        <w:t>AVCDL</w:t>
      </w:r>
      <w:r>
        <w:t xml:space="preserve"> phase requirements</w:t>
      </w:r>
      <w:r w:rsidR="007B1ABB">
        <w:t>, products,</w:t>
      </w:r>
      <w:r>
        <w:t xml:space="preserve"> and associated phases.</w:t>
      </w:r>
    </w:p>
    <w:p w14:paraId="0D9B92D5" w14:textId="5609551F" w:rsidR="007B1ABB" w:rsidRDefault="007B1ABB" w:rsidP="007B1ABB">
      <w:pPr>
        <w:spacing w:after="240"/>
        <w:ind w:left="720" w:hanging="720"/>
        <w:jc w:val="both"/>
      </w:pPr>
      <w:r w:rsidRPr="007B1ABB">
        <w:rPr>
          <w:b/>
          <w:bCs/>
          <w:color w:val="0070C0"/>
        </w:rPr>
        <w:t>Note:</w:t>
      </w:r>
      <w:r w:rsidRPr="007B1ABB">
        <w:rPr>
          <w:b/>
          <w:bCs/>
          <w:color w:val="0070C0"/>
        </w:rPr>
        <w:tab/>
      </w:r>
      <w:r>
        <w:t xml:space="preserve">The </w:t>
      </w:r>
      <w:r w:rsidRPr="0024776E">
        <w:rPr>
          <w:b/>
          <w:bCs/>
        </w:rPr>
        <w:t>AVCDL</w:t>
      </w:r>
      <w:r>
        <w:t xml:space="preserve"> </w:t>
      </w:r>
      <w:r w:rsidRPr="00950CBB">
        <w:rPr>
          <w:b/>
          <w:bCs/>
        </w:rPr>
        <w:t>Cybersecurity Interface Agreement</w:t>
      </w:r>
      <w:r>
        <w:t xml:space="preserve"> should be used as a source of summary information regarding the </w:t>
      </w:r>
      <w:r w:rsidRPr="007B1ABB">
        <w:rPr>
          <w:b/>
          <w:bCs/>
        </w:rPr>
        <w:t>AVCDL</w:t>
      </w:r>
      <w:r>
        <w:t xml:space="preserve"> phases, requirements, and products.</w:t>
      </w:r>
    </w:p>
    <w:p w14:paraId="0BFE4BE6" w14:textId="5EB9FABA" w:rsidR="0038056D" w:rsidRDefault="0038056D">
      <w:pPr>
        <w:rPr>
          <w:sz w:val="40"/>
          <w:szCs w:val="40"/>
        </w:rPr>
      </w:pPr>
      <w:r>
        <w:br w:type="page"/>
      </w:r>
    </w:p>
    <w:p w14:paraId="58EFBEF2" w14:textId="54B56C16" w:rsidR="00340CBF" w:rsidRDefault="00340CBF" w:rsidP="00340CBF">
      <w:pPr>
        <w:pStyle w:val="Heading2"/>
      </w:pPr>
      <w:bookmarkStart w:id="5" w:name="_434_req-vendor_process"/>
      <w:bookmarkEnd w:id="5"/>
      <w:r w:rsidRPr="00340CBF">
        <w:lastRenderedPageBreak/>
        <w:t>434 req-vendor process</w:t>
      </w:r>
    </w:p>
    <w:p w14:paraId="007D240F" w14:textId="6390777F" w:rsidR="00340CBF" w:rsidRPr="0038056D" w:rsidRDefault="00340CBF" w:rsidP="00340CBF">
      <w:pPr>
        <w:spacing w:after="240"/>
        <w:jc w:val="both"/>
      </w:pPr>
      <w:r>
        <w:t xml:space="preserve">This </w:t>
      </w:r>
      <w:r w:rsidRPr="00340CBF">
        <w:rPr>
          <w:b/>
          <w:bCs/>
        </w:rPr>
        <w:t>434 req-vendor process</w:t>
      </w:r>
      <w:r>
        <w:rPr>
          <w:b/>
          <w:bCs/>
        </w:rPr>
        <w:t xml:space="preserve"> </w:t>
      </w:r>
      <w:r>
        <w:t xml:space="preserve">sheet is </w:t>
      </w:r>
      <w:r w:rsidR="00042FBE">
        <w:t xml:space="preserve">intended to document the vendor cybersecurity processes and show </w:t>
      </w:r>
      <w:r w:rsidR="00042FBE" w:rsidRPr="00042FBE">
        <w:rPr>
          <w:b/>
          <w:bCs/>
        </w:rPr>
        <w:t>ISO 21434</w:t>
      </w:r>
      <w:r w:rsidR="00042FBE">
        <w:t xml:space="preserve"> requirements coverage of the same</w:t>
      </w:r>
      <w:r>
        <w:t>.</w:t>
      </w:r>
    </w:p>
    <w:p w14:paraId="5BDCF444" w14:textId="77777777" w:rsidR="00340CBF" w:rsidRDefault="00340CBF" w:rsidP="00340CBF">
      <w:pPr>
        <w:spacing w:after="240"/>
      </w:pPr>
      <w:r>
        <w:rPr>
          <w:noProof/>
        </w:rPr>
        <w:drawing>
          <wp:inline distT="0" distB="0" distL="0" distR="0" wp14:anchorId="6CBC4FF3" wp14:editId="15D7DC10">
            <wp:extent cx="5943600" cy="340583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C3F9" w14:textId="102DD2C0" w:rsidR="00340CBF" w:rsidRDefault="00340CBF" w:rsidP="00042FBE">
      <w:pPr>
        <w:spacing w:after="240"/>
        <w:jc w:val="both"/>
      </w:pPr>
      <w:r>
        <w:t xml:space="preserve">Rows are </w:t>
      </w:r>
      <w:r w:rsidRPr="00042FBE">
        <w:rPr>
          <w:b/>
          <w:bCs/>
        </w:rPr>
        <w:t>ISO 21434</w:t>
      </w:r>
      <w:r>
        <w:t xml:space="preserve"> requirements and associated work products. Columns are </w:t>
      </w:r>
      <w:r w:rsidRPr="00042FBE">
        <w:rPr>
          <w:b/>
          <w:bCs/>
        </w:rPr>
        <w:t>AVCDL</w:t>
      </w:r>
      <w:r>
        <w:t xml:space="preserve"> </w:t>
      </w:r>
      <w:r w:rsidR="00042FBE">
        <w:t xml:space="preserve">requirements, products, and associated </w:t>
      </w:r>
      <w:r>
        <w:t>phases.</w:t>
      </w:r>
      <w:r w:rsidR="007B1ABB">
        <w:t xml:space="preserve"> These need to be replaced with the appropriate vendor </w:t>
      </w:r>
      <w:r w:rsidR="00042FBE">
        <w:t xml:space="preserve">processes aligned to the AVCDL phases </w:t>
      </w:r>
      <w:r w:rsidR="007B1ABB">
        <w:t xml:space="preserve">as </w:t>
      </w:r>
      <w:r w:rsidR="00042FBE">
        <w:t xml:space="preserve">described in the </w:t>
      </w:r>
      <w:hyperlink w:anchor="_Detail_Cybersecurity_Processes" w:history="1">
        <w:r w:rsidR="00042FBE" w:rsidRPr="00042FBE">
          <w:rPr>
            <w:rStyle w:val="Hyperlink"/>
          </w:rPr>
          <w:t>Detail Cybersecurity Processes</w:t>
        </w:r>
      </w:hyperlink>
      <w:r w:rsidR="00042FBE">
        <w:t xml:space="preserve"> activity.</w:t>
      </w:r>
    </w:p>
    <w:p w14:paraId="2DD202A5" w14:textId="77777777" w:rsidR="00340CBF" w:rsidRDefault="00340CBF" w:rsidP="00340CBF">
      <w:pPr>
        <w:rPr>
          <w:sz w:val="40"/>
          <w:szCs w:val="40"/>
        </w:rPr>
      </w:pPr>
      <w:r>
        <w:br w:type="page"/>
      </w:r>
    </w:p>
    <w:p w14:paraId="294C45D0" w14:textId="1143E85C" w:rsidR="00340CBF" w:rsidRDefault="00340CBF" w:rsidP="00340CBF">
      <w:pPr>
        <w:pStyle w:val="Heading2"/>
      </w:pPr>
      <w:bookmarkStart w:id="6" w:name="_AVCDL-vendor_process"/>
      <w:bookmarkEnd w:id="6"/>
      <w:r w:rsidRPr="00340CBF">
        <w:lastRenderedPageBreak/>
        <w:t>AVCDL-vendor process</w:t>
      </w:r>
    </w:p>
    <w:p w14:paraId="6E1EF641" w14:textId="17C66996" w:rsidR="00340CBF" w:rsidRPr="0038056D" w:rsidRDefault="00340CBF" w:rsidP="00340CBF">
      <w:pPr>
        <w:spacing w:after="240"/>
        <w:jc w:val="both"/>
      </w:pPr>
      <w:r>
        <w:t xml:space="preserve">This </w:t>
      </w:r>
      <w:r w:rsidRPr="00340CBF">
        <w:rPr>
          <w:b/>
          <w:bCs/>
        </w:rPr>
        <w:t>AVCDL-vendor process</w:t>
      </w:r>
      <w:r>
        <w:rPr>
          <w:b/>
          <w:bCs/>
        </w:rPr>
        <w:t xml:space="preserve"> </w:t>
      </w:r>
      <w:r>
        <w:t xml:space="preserve">sheet is </w:t>
      </w:r>
      <w:r w:rsidR="00042FBE">
        <w:t xml:space="preserve">intended to show the mapping from the </w:t>
      </w:r>
      <w:r w:rsidR="00042FBE" w:rsidRPr="00042FBE">
        <w:rPr>
          <w:b/>
          <w:bCs/>
        </w:rPr>
        <w:t>AVCDL</w:t>
      </w:r>
      <w:r w:rsidR="00042FBE">
        <w:t xml:space="preserve"> phase requirement products to the vendor processes</w:t>
      </w:r>
      <w:r>
        <w:t>.</w:t>
      </w:r>
    </w:p>
    <w:p w14:paraId="34DA1692" w14:textId="77777777" w:rsidR="00340CBF" w:rsidRDefault="00340CBF" w:rsidP="00340CBF">
      <w:pPr>
        <w:spacing w:after="240"/>
      </w:pPr>
      <w:r>
        <w:rPr>
          <w:noProof/>
        </w:rPr>
        <w:drawing>
          <wp:inline distT="0" distB="0" distL="0" distR="0" wp14:anchorId="04D68A62" wp14:editId="38183B28">
            <wp:extent cx="5943600" cy="3309371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E048" w14:textId="0797C8E7" w:rsidR="00042FBE" w:rsidRDefault="00042FBE" w:rsidP="00042FBE">
      <w:pPr>
        <w:spacing w:after="240"/>
        <w:jc w:val="both"/>
      </w:pPr>
      <w:r>
        <w:t xml:space="preserve">Rows </w:t>
      </w:r>
      <w:r w:rsidR="00340CBF">
        <w:t xml:space="preserve">are </w:t>
      </w:r>
      <w:r w:rsidR="00340CBF" w:rsidRPr="00042FBE">
        <w:rPr>
          <w:b/>
          <w:bCs/>
        </w:rPr>
        <w:t>AVCDL</w:t>
      </w:r>
      <w:r w:rsidR="00340CBF">
        <w:t xml:space="preserve"> </w:t>
      </w:r>
      <w:r>
        <w:t xml:space="preserve">requirements, products, and associated </w:t>
      </w:r>
      <w:r w:rsidR="00340CBF">
        <w:t>phases.</w:t>
      </w:r>
      <w:r w:rsidRPr="00042FBE">
        <w:t xml:space="preserve"> </w:t>
      </w:r>
      <w:r>
        <w:t xml:space="preserve">Columns are vendor processes aligned to the </w:t>
      </w:r>
      <w:r w:rsidRPr="00042FBE">
        <w:rPr>
          <w:b/>
          <w:bCs/>
        </w:rPr>
        <w:t>AVCDL</w:t>
      </w:r>
      <w:r>
        <w:t xml:space="preserve"> phases. These need to be replaced with the appropriate vendor processes aligned to the </w:t>
      </w:r>
      <w:r w:rsidRPr="00042FBE">
        <w:rPr>
          <w:b/>
          <w:bCs/>
        </w:rPr>
        <w:t>AVCDL</w:t>
      </w:r>
      <w:r>
        <w:t xml:space="preserve"> phases as described in the </w:t>
      </w:r>
      <w:hyperlink w:anchor="_Detail_Cybersecurity_Processes" w:history="1">
        <w:r w:rsidRPr="00042FBE">
          <w:rPr>
            <w:rStyle w:val="Hyperlink"/>
          </w:rPr>
          <w:t>Detail Cybersecurity Processes</w:t>
        </w:r>
      </w:hyperlink>
      <w:r>
        <w:t xml:space="preserve"> activity. This is accomplished in the </w:t>
      </w:r>
      <w:hyperlink w:anchor="_Create_Vendor_–" w:history="1">
        <w:r w:rsidRPr="00042FBE">
          <w:rPr>
            <w:rStyle w:val="Hyperlink"/>
          </w:rPr>
          <w:t>Create Vendor – AVCDL Mapping</w:t>
        </w:r>
      </w:hyperlink>
      <w:r>
        <w:t xml:space="preserve"> activity. The columns are copied from the </w:t>
      </w:r>
      <w:hyperlink w:anchor="_AVCDL-vendor_process" w:history="1">
        <w:r w:rsidRPr="00D5762A">
          <w:rPr>
            <w:rStyle w:val="Hyperlink"/>
            <w:b/>
            <w:bCs/>
          </w:rPr>
          <w:t>AVCDL-vendor process</w:t>
        </w:r>
      </w:hyperlink>
      <w:r>
        <w:t xml:space="preserve"> sheet updated in that activity.</w:t>
      </w:r>
    </w:p>
    <w:p w14:paraId="2DA0BBBA" w14:textId="0B7FDC10" w:rsidR="00340CBF" w:rsidRDefault="00340CBF" w:rsidP="00042FBE">
      <w:pPr>
        <w:spacing w:after="240"/>
        <w:jc w:val="both"/>
      </w:pPr>
    </w:p>
    <w:p w14:paraId="0A4E9C80" w14:textId="77777777" w:rsidR="00340CBF" w:rsidRDefault="00340CBF" w:rsidP="00340CBF">
      <w:pPr>
        <w:rPr>
          <w:sz w:val="40"/>
          <w:szCs w:val="40"/>
        </w:rPr>
      </w:pPr>
      <w:r>
        <w:br w:type="page"/>
      </w:r>
    </w:p>
    <w:p w14:paraId="0000000C" w14:textId="763FE342" w:rsidR="00E27AF5" w:rsidRDefault="008C1D59">
      <w:pPr>
        <w:pStyle w:val="Heading1"/>
      </w:pPr>
      <w:r>
        <w:lastRenderedPageBreak/>
        <w:t>References</w:t>
      </w:r>
    </w:p>
    <w:p w14:paraId="1C14929C" w14:textId="58744B9D" w:rsidR="00901FDC" w:rsidRPr="00B917F4" w:rsidRDefault="00843601" w:rsidP="00901FDC">
      <w:pPr>
        <w:pStyle w:val="ListParagraph"/>
        <w:numPr>
          <w:ilvl w:val="0"/>
          <w:numId w:val="14"/>
        </w:numPr>
        <w:ind w:left="450" w:hanging="450"/>
        <w:rPr>
          <w:rStyle w:val="Hyperlink"/>
          <w:color w:val="auto"/>
          <w:u w:val="none"/>
        </w:rPr>
      </w:pPr>
      <w:bookmarkStart w:id="7" w:name="ref_01"/>
      <w:bookmarkEnd w:id="7"/>
      <w:r>
        <w:rPr>
          <w:b/>
          <w:bCs/>
        </w:rPr>
        <w:t>Autonomous Vehicle Cybersecurity Development Lifecycle</w:t>
      </w:r>
    </w:p>
    <w:p w14:paraId="5C493992" w14:textId="02C4C3AD" w:rsidR="00901FDC" w:rsidRPr="00B917F4" w:rsidRDefault="00BF7473" w:rsidP="00901FDC">
      <w:pPr>
        <w:pStyle w:val="ListParagraph"/>
        <w:numPr>
          <w:ilvl w:val="0"/>
          <w:numId w:val="14"/>
        </w:numPr>
        <w:ind w:left="450" w:hanging="450"/>
      </w:pPr>
      <w:r>
        <w:rPr>
          <w:rFonts w:eastAsia="Times New Roman"/>
          <w:b/>
          <w:bCs/>
          <w:lang w:val="en-US"/>
        </w:rPr>
        <w:t>Cybersecurity Interface Agreement</w:t>
      </w:r>
      <w:r w:rsidR="00901FDC" w:rsidRPr="00B917F4">
        <w:rPr>
          <w:rFonts w:eastAsia="Times New Roman"/>
          <w:b/>
          <w:bCs/>
          <w:lang w:val="en-US"/>
        </w:rPr>
        <w:t xml:space="preserve"> </w:t>
      </w:r>
      <w:r w:rsidR="00901FDC" w:rsidRPr="00BF7473">
        <w:rPr>
          <w:rFonts w:eastAsia="Times New Roman"/>
          <w:lang w:val="en-US"/>
        </w:rPr>
        <w:t>(</w:t>
      </w:r>
      <w:r w:rsidRPr="00BF7473">
        <w:rPr>
          <w:rFonts w:eastAsia="Times New Roman"/>
          <w:b/>
          <w:bCs/>
          <w:lang w:val="en-US"/>
        </w:rPr>
        <w:t>AVCDL</w:t>
      </w:r>
      <w:r w:rsidRPr="00BF7473">
        <w:rPr>
          <w:rFonts w:eastAsia="Times New Roman"/>
          <w:lang w:val="en-US"/>
        </w:rPr>
        <w:t xml:space="preserve"> secondary document</w:t>
      </w:r>
      <w:r w:rsidR="00901FDC" w:rsidRPr="00B917F4">
        <w:rPr>
          <w:rFonts w:eastAsia="Times New Roman"/>
          <w:b/>
          <w:bCs/>
          <w:lang w:val="en-US"/>
        </w:rPr>
        <w:t>)</w:t>
      </w:r>
    </w:p>
    <w:p w14:paraId="2172A271" w14:textId="7BBC7B88" w:rsidR="00FE39EB" w:rsidRPr="00152F71" w:rsidRDefault="00042FBE" w:rsidP="00042FBE">
      <w:pPr>
        <w:pStyle w:val="ListParagraph"/>
        <w:numPr>
          <w:ilvl w:val="0"/>
          <w:numId w:val="14"/>
        </w:numPr>
        <w:ind w:left="450" w:hanging="450"/>
        <w:rPr>
          <w:b/>
        </w:rPr>
      </w:pPr>
      <w:r w:rsidRPr="002D5B51">
        <w:rPr>
          <w:b/>
          <w:bCs/>
        </w:rPr>
        <w:t>vendor process – AVCDL product mapping template</w:t>
      </w:r>
      <w:r>
        <w:t xml:space="preserve"> (AVCDL template document)</w:t>
      </w:r>
    </w:p>
    <w:p w14:paraId="0000000E" w14:textId="77777777" w:rsidR="00E27AF5" w:rsidRDefault="00E27AF5"/>
    <w:p w14:paraId="0000000F" w14:textId="77777777" w:rsidR="00E27AF5" w:rsidRDefault="00E27AF5"/>
    <w:sectPr w:rsidR="00E27AF5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E0204" w14:textId="77777777" w:rsidR="004F5E53" w:rsidRDefault="004F5E53" w:rsidP="004834EE">
      <w:pPr>
        <w:spacing w:line="240" w:lineRule="auto"/>
      </w:pPr>
      <w:r>
        <w:separator/>
      </w:r>
    </w:p>
  </w:endnote>
  <w:endnote w:type="continuationSeparator" w:id="0">
    <w:p w14:paraId="0DFCAE72" w14:textId="77777777" w:rsidR="004F5E53" w:rsidRDefault="004F5E53" w:rsidP="00483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221020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79F028" w14:textId="50033A78" w:rsidR="0006765E" w:rsidRDefault="0006765E" w:rsidP="000676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A55CC0" w14:textId="77777777" w:rsidR="0006765E" w:rsidRDefault="0006765E" w:rsidP="004834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770181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C99C88" w14:textId="67EAE81D" w:rsidR="0006765E" w:rsidRDefault="0006765E" w:rsidP="000676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5FF8427" w14:textId="77777777" w:rsidR="0006765E" w:rsidRDefault="0006765E" w:rsidP="004834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88B36" w14:textId="77777777" w:rsidR="004F5E53" w:rsidRDefault="004F5E53" w:rsidP="004834EE">
      <w:pPr>
        <w:spacing w:line="240" w:lineRule="auto"/>
      </w:pPr>
      <w:r>
        <w:separator/>
      </w:r>
    </w:p>
  </w:footnote>
  <w:footnote w:type="continuationSeparator" w:id="0">
    <w:p w14:paraId="50F01097" w14:textId="77777777" w:rsidR="004F5E53" w:rsidRDefault="004F5E53" w:rsidP="004834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15EA"/>
    <w:multiLevelType w:val="multilevel"/>
    <w:tmpl w:val="D1FC5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2A5D0D"/>
    <w:multiLevelType w:val="hybridMultilevel"/>
    <w:tmpl w:val="E6CC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22928"/>
    <w:multiLevelType w:val="hybridMultilevel"/>
    <w:tmpl w:val="37BC9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40BCA"/>
    <w:multiLevelType w:val="hybridMultilevel"/>
    <w:tmpl w:val="D2DA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D4363"/>
    <w:multiLevelType w:val="hybridMultilevel"/>
    <w:tmpl w:val="F062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94D60"/>
    <w:multiLevelType w:val="hybridMultilevel"/>
    <w:tmpl w:val="27509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E19A1"/>
    <w:multiLevelType w:val="multilevel"/>
    <w:tmpl w:val="C7EC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27A3B"/>
    <w:multiLevelType w:val="hybridMultilevel"/>
    <w:tmpl w:val="FA7621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714E29"/>
    <w:multiLevelType w:val="hybridMultilevel"/>
    <w:tmpl w:val="94EA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81039"/>
    <w:multiLevelType w:val="hybridMultilevel"/>
    <w:tmpl w:val="3662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54637"/>
    <w:multiLevelType w:val="hybridMultilevel"/>
    <w:tmpl w:val="D592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177D0"/>
    <w:multiLevelType w:val="hybridMultilevel"/>
    <w:tmpl w:val="7FDEC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B3765"/>
    <w:multiLevelType w:val="hybridMultilevel"/>
    <w:tmpl w:val="A9B2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A4D4E"/>
    <w:multiLevelType w:val="hybridMultilevel"/>
    <w:tmpl w:val="E278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13"/>
  </w:num>
  <w:num w:numId="6">
    <w:abstractNumId w:val="2"/>
  </w:num>
  <w:num w:numId="7">
    <w:abstractNumId w:val="3"/>
  </w:num>
  <w:num w:numId="8">
    <w:abstractNumId w:val="1"/>
  </w:num>
  <w:num w:numId="9">
    <w:abstractNumId w:val="12"/>
  </w:num>
  <w:num w:numId="10">
    <w:abstractNumId w:val="8"/>
  </w:num>
  <w:num w:numId="11">
    <w:abstractNumId w:val="9"/>
  </w:num>
  <w:num w:numId="12">
    <w:abstractNumId w:val="1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F5"/>
    <w:rsid w:val="000104E9"/>
    <w:rsid w:val="00033EB9"/>
    <w:rsid w:val="00042FBE"/>
    <w:rsid w:val="0005191B"/>
    <w:rsid w:val="0006765E"/>
    <w:rsid w:val="00075464"/>
    <w:rsid w:val="000833AA"/>
    <w:rsid w:val="000947AB"/>
    <w:rsid w:val="000A4939"/>
    <w:rsid w:val="000A570B"/>
    <w:rsid w:val="000E70FC"/>
    <w:rsid w:val="00102ABC"/>
    <w:rsid w:val="00152F71"/>
    <w:rsid w:val="001F087F"/>
    <w:rsid w:val="0020560E"/>
    <w:rsid w:val="00221008"/>
    <w:rsid w:val="002414F2"/>
    <w:rsid w:val="0024196D"/>
    <w:rsid w:val="002456B0"/>
    <w:rsid w:val="0024776E"/>
    <w:rsid w:val="0027025E"/>
    <w:rsid w:val="00271DFD"/>
    <w:rsid w:val="002D5B51"/>
    <w:rsid w:val="002E45F8"/>
    <w:rsid w:val="00303D95"/>
    <w:rsid w:val="003046BC"/>
    <w:rsid w:val="003050FA"/>
    <w:rsid w:val="00316B56"/>
    <w:rsid w:val="00323194"/>
    <w:rsid w:val="00340CBF"/>
    <w:rsid w:val="00355D32"/>
    <w:rsid w:val="0038056D"/>
    <w:rsid w:val="0038329C"/>
    <w:rsid w:val="00396A8D"/>
    <w:rsid w:val="003A42ED"/>
    <w:rsid w:val="003E0EB7"/>
    <w:rsid w:val="003E1867"/>
    <w:rsid w:val="00453DD6"/>
    <w:rsid w:val="00456EE8"/>
    <w:rsid w:val="00462E8E"/>
    <w:rsid w:val="004834EE"/>
    <w:rsid w:val="00483B61"/>
    <w:rsid w:val="004C0547"/>
    <w:rsid w:val="004C51BA"/>
    <w:rsid w:val="004D3830"/>
    <w:rsid w:val="004E1900"/>
    <w:rsid w:val="004F5E53"/>
    <w:rsid w:val="00506EB3"/>
    <w:rsid w:val="00546820"/>
    <w:rsid w:val="00553128"/>
    <w:rsid w:val="00566342"/>
    <w:rsid w:val="005801D5"/>
    <w:rsid w:val="00587D96"/>
    <w:rsid w:val="00587DCA"/>
    <w:rsid w:val="0059421D"/>
    <w:rsid w:val="005D165D"/>
    <w:rsid w:val="005D1D65"/>
    <w:rsid w:val="005D6AED"/>
    <w:rsid w:val="005E2D1B"/>
    <w:rsid w:val="005E4439"/>
    <w:rsid w:val="00610DE3"/>
    <w:rsid w:val="00622878"/>
    <w:rsid w:val="00640407"/>
    <w:rsid w:val="0064446E"/>
    <w:rsid w:val="006662B5"/>
    <w:rsid w:val="00681245"/>
    <w:rsid w:val="00683629"/>
    <w:rsid w:val="00692487"/>
    <w:rsid w:val="00693790"/>
    <w:rsid w:val="006B5232"/>
    <w:rsid w:val="006D7366"/>
    <w:rsid w:val="006E2C4F"/>
    <w:rsid w:val="00702ACE"/>
    <w:rsid w:val="007112A2"/>
    <w:rsid w:val="00713FD1"/>
    <w:rsid w:val="00715F28"/>
    <w:rsid w:val="00720E81"/>
    <w:rsid w:val="0073429F"/>
    <w:rsid w:val="007368AC"/>
    <w:rsid w:val="00787863"/>
    <w:rsid w:val="00787E7C"/>
    <w:rsid w:val="007B1ABB"/>
    <w:rsid w:val="007F1FD3"/>
    <w:rsid w:val="008159EF"/>
    <w:rsid w:val="00835BEE"/>
    <w:rsid w:val="00843601"/>
    <w:rsid w:val="00881EA0"/>
    <w:rsid w:val="0088387F"/>
    <w:rsid w:val="00885117"/>
    <w:rsid w:val="008C1D59"/>
    <w:rsid w:val="008C530D"/>
    <w:rsid w:val="008E62FA"/>
    <w:rsid w:val="00900BB4"/>
    <w:rsid w:val="00901FDC"/>
    <w:rsid w:val="00924D8E"/>
    <w:rsid w:val="009313E9"/>
    <w:rsid w:val="00934FB7"/>
    <w:rsid w:val="009404D9"/>
    <w:rsid w:val="0094576C"/>
    <w:rsid w:val="00947C9D"/>
    <w:rsid w:val="00950CBB"/>
    <w:rsid w:val="00951543"/>
    <w:rsid w:val="0096153D"/>
    <w:rsid w:val="009753BC"/>
    <w:rsid w:val="009B7B46"/>
    <w:rsid w:val="009D17CB"/>
    <w:rsid w:val="009D3D6B"/>
    <w:rsid w:val="009E3750"/>
    <w:rsid w:val="00A25950"/>
    <w:rsid w:val="00A400D4"/>
    <w:rsid w:val="00A52E29"/>
    <w:rsid w:val="00A6765C"/>
    <w:rsid w:val="00A933C4"/>
    <w:rsid w:val="00AC1576"/>
    <w:rsid w:val="00B023DF"/>
    <w:rsid w:val="00B03BD9"/>
    <w:rsid w:val="00B14B28"/>
    <w:rsid w:val="00B326CC"/>
    <w:rsid w:val="00B33D4E"/>
    <w:rsid w:val="00B41D4E"/>
    <w:rsid w:val="00B46F10"/>
    <w:rsid w:val="00B667CA"/>
    <w:rsid w:val="00B85158"/>
    <w:rsid w:val="00B93D6D"/>
    <w:rsid w:val="00BC3213"/>
    <w:rsid w:val="00BD2EA3"/>
    <w:rsid w:val="00BF7473"/>
    <w:rsid w:val="00C01829"/>
    <w:rsid w:val="00C0601C"/>
    <w:rsid w:val="00C13D3D"/>
    <w:rsid w:val="00C31651"/>
    <w:rsid w:val="00C5366D"/>
    <w:rsid w:val="00C5541E"/>
    <w:rsid w:val="00C82E71"/>
    <w:rsid w:val="00CD06D9"/>
    <w:rsid w:val="00CD45C6"/>
    <w:rsid w:val="00CE0F64"/>
    <w:rsid w:val="00CE23FB"/>
    <w:rsid w:val="00CE63D3"/>
    <w:rsid w:val="00D46690"/>
    <w:rsid w:val="00D50EDA"/>
    <w:rsid w:val="00D53F85"/>
    <w:rsid w:val="00D5762A"/>
    <w:rsid w:val="00D602F9"/>
    <w:rsid w:val="00D7289D"/>
    <w:rsid w:val="00DB0ECE"/>
    <w:rsid w:val="00DC03C5"/>
    <w:rsid w:val="00DD29BE"/>
    <w:rsid w:val="00DD7533"/>
    <w:rsid w:val="00DF1522"/>
    <w:rsid w:val="00DF2FD8"/>
    <w:rsid w:val="00DF6793"/>
    <w:rsid w:val="00E072F7"/>
    <w:rsid w:val="00E11AC0"/>
    <w:rsid w:val="00E13278"/>
    <w:rsid w:val="00E1499D"/>
    <w:rsid w:val="00E27AF5"/>
    <w:rsid w:val="00E37C60"/>
    <w:rsid w:val="00E55008"/>
    <w:rsid w:val="00EB141B"/>
    <w:rsid w:val="00F002DA"/>
    <w:rsid w:val="00F16BAD"/>
    <w:rsid w:val="00F50613"/>
    <w:rsid w:val="00F5091C"/>
    <w:rsid w:val="00F62B82"/>
    <w:rsid w:val="00F73886"/>
    <w:rsid w:val="00F86782"/>
    <w:rsid w:val="00FA113E"/>
    <w:rsid w:val="00FB58DF"/>
    <w:rsid w:val="00FC2D93"/>
    <w:rsid w:val="00FC6F1B"/>
    <w:rsid w:val="00FD013C"/>
    <w:rsid w:val="00FE39EB"/>
    <w:rsid w:val="00FF07B8"/>
    <w:rsid w:val="00FF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FC07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075464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075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4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4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F7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9E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9EB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2100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4EE"/>
  </w:style>
  <w:style w:type="paragraph" w:styleId="Footer">
    <w:name w:val="footer"/>
    <w:basedOn w:val="Normal"/>
    <w:link w:val="Foot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4EE"/>
  </w:style>
  <w:style w:type="character" w:styleId="PageNumber">
    <w:name w:val="page number"/>
    <w:basedOn w:val="DefaultParagraphFont"/>
    <w:uiPriority w:val="99"/>
    <w:semiHidden/>
    <w:unhideWhenUsed/>
    <w:rsid w:val="004834EE"/>
  </w:style>
  <w:style w:type="paragraph" w:styleId="NormalWeb">
    <w:name w:val="Normal (Web)"/>
    <w:basedOn w:val="Normal"/>
    <w:uiPriority w:val="99"/>
    <w:unhideWhenUsed/>
    <w:rsid w:val="00067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8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2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7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8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5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6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legalcod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2BEB5D-387C-1A40-83C1-CFEBB3F56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864</Words>
  <Characters>5248</Characters>
  <Application>Microsoft Office Word</Application>
  <DocSecurity>0</DocSecurity>
  <Lines>109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Understanding Supplier Cybersecurity Process Mapping</vt:lpstr>
    </vt:vector>
  </TitlesOfParts>
  <Manager/>
  <Company>Motional</Company>
  <LinksUpToDate>false</LinksUpToDate>
  <CharactersWithSpaces>6039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Supplier Cybersecurity Process Mapping</dc:title>
  <dc:subject>Supplier Cybersecurity Process Mapping</dc:subject>
  <dc:creator>Charles Wilson</dc:creator>
  <cp:keywords/>
  <dc:description>This work was created by Motional and is licensed under the Creative Commons Attribution-Share Alike (CC BY-SA-4.0) License.
https://creativecommons.org/licenses/by/4.0/legalcode</dc:description>
  <cp:lastModifiedBy>Wilson, Charles</cp:lastModifiedBy>
  <cp:revision>3</cp:revision>
  <dcterms:created xsi:type="dcterms:W3CDTF">2022-07-07T15:38:00Z</dcterms:created>
  <dcterms:modified xsi:type="dcterms:W3CDTF">2022-07-07T15:38:00Z</dcterms:modified>
  <cp:category/>
</cp:coreProperties>
</file>