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05A" w14:textId="742800BC" w:rsidR="00396A8D" w:rsidRDefault="00C131EA" w:rsidP="00075464">
      <w:pPr>
        <w:pStyle w:val="Heading1"/>
        <w:rPr>
          <w:sz w:val="52"/>
          <w:szCs w:val="52"/>
        </w:rPr>
      </w:pPr>
      <w:r w:rsidRPr="00C131EA">
        <w:rPr>
          <w:sz w:val="52"/>
          <w:szCs w:val="52"/>
        </w:rPr>
        <w:t>Understanding Supply Chain Interaction in an AVCDL Context</w:t>
      </w:r>
    </w:p>
    <w:p w14:paraId="578FE19B" w14:textId="25374CF2" w:rsidR="00075464" w:rsidRDefault="00B46F10" w:rsidP="00075464">
      <w:pPr>
        <w:pStyle w:val="Heading1"/>
      </w:pPr>
      <w:r>
        <w:t>Revision</w:t>
      </w:r>
    </w:p>
    <w:p w14:paraId="616BB72A" w14:textId="48D820E1" w:rsidR="003A42ED" w:rsidRPr="003A42ED" w:rsidRDefault="003A42ED" w:rsidP="003A42ED">
      <w:r>
        <w:t xml:space="preserve">Version </w:t>
      </w:r>
      <w:r w:rsidR="00E943E5">
        <w:t>4</w:t>
      </w:r>
    </w:p>
    <w:p w14:paraId="45CEE66D" w14:textId="7E879922" w:rsidR="00075464" w:rsidRDefault="00075464" w:rsidP="00075464">
      <w:pPr>
        <w:jc w:val="both"/>
      </w:pPr>
      <w:r>
        <w:fldChar w:fldCharType="begin"/>
      </w:r>
      <w:r>
        <w:instrText xml:space="preserve"> DATE \@ "M/d/yy h:mm am/pm" </w:instrText>
      </w:r>
      <w:r>
        <w:fldChar w:fldCharType="separate"/>
      </w:r>
      <w:r w:rsidR="00F05716">
        <w:rPr>
          <w:noProof/>
        </w:rPr>
        <w:t>3/15/23 1:52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5F937A63" w:rsidR="00E27AF5" w:rsidRDefault="008C1D59">
      <w:pPr>
        <w:jc w:val="both"/>
      </w:pPr>
      <w:r>
        <w:t xml:space="preserve">This document </w:t>
      </w:r>
      <w:r w:rsidR="00C47626">
        <w:t>provides an overview of how</w:t>
      </w:r>
      <w:r w:rsidR="0027025E">
        <w:t xml:space="preserve"> a supplier</w:t>
      </w:r>
      <w:r w:rsidR="00C47626">
        <w:t xml:space="preserve"> is</w:t>
      </w:r>
      <w:r w:rsidR="0027025E">
        <w:t xml:space="preserve"> </w:t>
      </w:r>
      <w:r w:rsidR="00C47626">
        <w:t xml:space="preserve">integrated </w:t>
      </w:r>
      <w:r w:rsidR="00CE54C6">
        <w:t>into</w:t>
      </w:r>
      <w:r w:rsidR="0027025E">
        <w:t xml:space="preserve"> </w:t>
      </w:r>
      <w:r w:rsidR="00CE54C6">
        <w:t>an</w:t>
      </w:r>
      <w:r w:rsidR="0027025E">
        <w:t xml:space="preserve"> </w:t>
      </w:r>
      <w:r w:rsidR="0027025E" w:rsidRPr="0027025E">
        <w:rPr>
          <w:b/>
          <w:bCs/>
        </w:rPr>
        <w:t>AVCDL</w:t>
      </w:r>
      <w:r w:rsidR="00C47626">
        <w:t>-based product development lifecycle</w:t>
      </w:r>
      <w:r>
        <w:t>.</w:t>
      </w:r>
    </w:p>
    <w:p w14:paraId="6C68B147" w14:textId="66CA3BB7" w:rsidR="00417AA5" w:rsidRDefault="00417AA5" w:rsidP="00417AA5">
      <w:pPr>
        <w:pStyle w:val="Heading1"/>
      </w:pPr>
      <w:r>
        <w:t>Motivation</w:t>
      </w:r>
    </w:p>
    <w:p w14:paraId="2FE16137" w14:textId="1D27F1D4" w:rsidR="00417AA5" w:rsidRDefault="00417AA5" w:rsidP="00417AA5">
      <w:pPr>
        <w:spacing w:after="240"/>
        <w:jc w:val="both"/>
      </w:pPr>
      <w:r>
        <w:t xml:space="preserve">This document is motivated by the need to </w:t>
      </w:r>
      <w:r w:rsidR="00C47626">
        <w:t>ensure</w:t>
      </w:r>
      <w:r w:rsidR="0083626F">
        <w:t xml:space="preserve"> sufficient</w:t>
      </w:r>
      <w:r>
        <w:t xml:space="preserve"> cybersecurity across the entire supply chain.</w:t>
      </w:r>
    </w:p>
    <w:p w14:paraId="253AF266" w14:textId="4AFBC788" w:rsidR="00417AA5" w:rsidRDefault="00417AA5" w:rsidP="00417AA5">
      <w:pPr>
        <w:ind w:left="720" w:hanging="720"/>
        <w:jc w:val="both"/>
      </w:pPr>
      <w:r w:rsidRPr="009A73AC">
        <w:rPr>
          <w:b/>
          <w:bCs/>
          <w:color w:val="0070C0"/>
        </w:rPr>
        <w:t>Note:</w:t>
      </w:r>
      <w:r>
        <w:tab/>
        <w:t>This document is not intended as a replacement for the processes and commentary materials it references.</w:t>
      </w:r>
    </w:p>
    <w:p w14:paraId="67FB0CEB" w14:textId="77777777" w:rsidR="0027025E" w:rsidRDefault="0027025E" w:rsidP="0027025E">
      <w:pPr>
        <w:pStyle w:val="Heading1"/>
      </w:pPr>
      <w:r>
        <w:t>Audience</w:t>
      </w:r>
    </w:p>
    <w:p w14:paraId="252B8C62" w14:textId="57A0577F" w:rsidR="0027025E" w:rsidRDefault="0027025E" w:rsidP="0027025E">
      <w:pPr>
        <w:spacing w:after="240"/>
        <w:jc w:val="both"/>
      </w:pPr>
      <w:r>
        <w:t xml:space="preserve">The audience of this document are those supplier cybersecurity SMEs tasked with interfacing to customers using the </w:t>
      </w:r>
      <w:r w:rsidRPr="003B1797">
        <w:rPr>
          <w:b/>
          <w:bCs/>
        </w:rPr>
        <w:t>AVCDL</w:t>
      </w:r>
      <w:r>
        <w:t xml:space="preserve"> as the basis for their product cybersecurity lifecycle.</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00000008" w14:textId="109637BB" w:rsidR="00E27AF5" w:rsidRDefault="008C1D59">
      <w:pPr>
        <w:pStyle w:val="Heading1"/>
      </w:pPr>
      <w:r>
        <w:lastRenderedPageBreak/>
        <w:t>Overview</w:t>
      </w:r>
    </w:p>
    <w:p w14:paraId="0FED1D64" w14:textId="27B0CA61" w:rsidR="00033EB9" w:rsidRDefault="009C0DEC" w:rsidP="00CE63D3">
      <w:pPr>
        <w:spacing w:after="240"/>
        <w:jc w:val="both"/>
      </w:pPr>
      <w:r>
        <w:t>T</w:t>
      </w:r>
      <w:r w:rsidR="00FF0F88">
        <w:t xml:space="preserve">he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t xml:space="preserve">is </w:t>
      </w:r>
      <w:r w:rsidR="00345BF1">
        <w:t xml:space="preserve">primarily </w:t>
      </w:r>
      <w:r>
        <w:t xml:space="preserve">intended for application </w:t>
      </w:r>
      <w:r w:rsidR="0083626F">
        <w:t>to</w:t>
      </w:r>
      <w:r>
        <w:t xml:space="preserve"> an individual organization’s </w:t>
      </w:r>
      <w:r w:rsidR="00C33483">
        <w:t>product development</w:t>
      </w:r>
      <w:r w:rsidR="00E1499D">
        <w:t>.</w:t>
      </w:r>
      <w:r w:rsidR="00C33483">
        <w:t xml:space="preserve"> It does, however, provide guidance and resources for handling the interaction between the organization (as a customer) and a vendor (as a supplier) within the overall supply chain.</w:t>
      </w:r>
      <w:r w:rsidR="00345BF1">
        <w:t xml:space="preserve"> This document provides an overview of both the supplier-specific materials and how the supplier is integrated into the overall product cybersecurity lifecycle. </w:t>
      </w:r>
    </w:p>
    <w:p w14:paraId="24FB89F5" w14:textId="77777777" w:rsidR="00C47626" w:rsidRDefault="00C47626">
      <w:pPr>
        <w:rPr>
          <w:sz w:val="40"/>
          <w:szCs w:val="40"/>
        </w:rPr>
      </w:pPr>
      <w:r>
        <w:br w:type="page"/>
      </w:r>
    </w:p>
    <w:p w14:paraId="42E57D5C" w14:textId="427BDDDF" w:rsidR="00345BF1" w:rsidRDefault="00345BF1" w:rsidP="00345BF1">
      <w:pPr>
        <w:pStyle w:val="Heading1"/>
      </w:pPr>
      <w:r>
        <w:lastRenderedPageBreak/>
        <w:t>Criticality of Integrated Supply Chain Cybersecurity</w:t>
      </w:r>
    </w:p>
    <w:p w14:paraId="79070DD5" w14:textId="77777777" w:rsidR="00345BF1" w:rsidRDefault="00345BF1" w:rsidP="00345BF1">
      <w:pPr>
        <w:spacing w:after="240"/>
        <w:jc w:val="both"/>
      </w:pPr>
      <w:r>
        <w:t xml:space="preserve">The </w:t>
      </w:r>
      <w:r w:rsidRPr="008529F0">
        <w:rPr>
          <w:b/>
          <w:bCs/>
        </w:rPr>
        <w:t>AVCDL</w:t>
      </w:r>
      <w:r>
        <w:t xml:space="preserve"> does not call out supplier-provided elements in every process and document within its corpus. It is presumed that every element of the product be held to the same standards, regardless of source. As such, it is critical that customers ensure that their suppliers are providing elements that meet the customer’s cybersecurity requirements. This includes undertaking activities described in the </w:t>
      </w:r>
      <w:r w:rsidRPr="00DF2EA8">
        <w:rPr>
          <w:b/>
          <w:bCs/>
        </w:rPr>
        <w:t>AVCDL</w:t>
      </w:r>
      <w:r>
        <w:t xml:space="preserve"> phase requirements. There is an expectation that the supplier will provide evidence that these activities were conducted according to industry best practices.</w:t>
      </w:r>
    </w:p>
    <w:p w14:paraId="1EAA954C" w14:textId="77777777" w:rsidR="00345BF1" w:rsidRDefault="00345BF1" w:rsidP="00345BF1">
      <w:pPr>
        <w:spacing w:after="240"/>
        <w:jc w:val="both"/>
      </w:pPr>
      <w:r>
        <w:t xml:space="preserve">Both international standards and regulations have requirements mandating the integration of the supply chain into the cybersecurity aspect of product development. These can be seen in the </w:t>
      </w:r>
      <w:r>
        <w:rPr>
          <w:b/>
          <w:bCs/>
        </w:rPr>
        <w:t>AVCDL mappings</w:t>
      </w:r>
      <w:r w:rsidRPr="00DF2EA8">
        <w:rPr>
          <w:b/>
          <w:bCs/>
        </w:rPr>
        <w:t xml:space="preserve"> </w:t>
      </w:r>
      <w:r w:rsidRPr="00DF2EA8">
        <w:rPr>
          <w:b/>
          <w:bCs/>
          <w:color w:val="0070C0"/>
          <w:vertAlign w:val="superscript"/>
        </w:rPr>
        <w:t>[5]</w:t>
      </w:r>
      <w:r w:rsidRPr="00DF2EA8">
        <w:rPr>
          <w:b/>
          <w:bCs/>
        </w:rPr>
        <w:t xml:space="preserve"> AVCDL</w:t>
      </w:r>
      <w:r>
        <w:t xml:space="preserve"> reference document.</w:t>
      </w:r>
    </w:p>
    <w:p w14:paraId="7F9CE410" w14:textId="40A7E77F" w:rsidR="00201A73" w:rsidRDefault="00201A73" w:rsidP="00201A73">
      <w:pPr>
        <w:pStyle w:val="Heading1"/>
      </w:pPr>
      <w:r>
        <w:t>Extraordinary Supplier Understanding</w:t>
      </w:r>
    </w:p>
    <w:p w14:paraId="177D6DE3" w14:textId="11DBFCA3" w:rsidR="00D0070C" w:rsidRDefault="00D0070C" w:rsidP="00201A73">
      <w:pPr>
        <w:spacing w:after="240"/>
        <w:jc w:val="both"/>
      </w:pPr>
      <w:r>
        <w:t>Given the nature of cybersecurity attacks it is necessary to take into consider supply chain aspects that are outside the cybersecurity domain</w:t>
      </w:r>
      <w:r w:rsidR="00201A73">
        <w:t>.</w:t>
      </w:r>
      <w:r>
        <w:t xml:space="preserve"> Both the breadth and depth of the supply chain must be considered when making suppl</w:t>
      </w:r>
      <w:r w:rsidR="00A73E46">
        <w:t>ier selection and risk assessment decisions.</w:t>
      </w:r>
    </w:p>
    <w:p w14:paraId="40E647CD" w14:textId="42FF12F4" w:rsidR="00201A73" w:rsidRDefault="00D0070C" w:rsidP="00201A73">
      <w:pPr>
        <w:spacing w:after="240"/>
        <w:jc w:val="both"/>
      </w:pPr>
      <w:r>
        <w:t>Supplier-specific factors needing explicit consideration include (but are not limited to):</w:t>
      </w:r>
    </w:p>
    <w:p w14:paraId="7C547DF4" w14:textId="112830F6" w:rsidR="00D0070C" w:rsidRDefault="00D0070C" w:rsidP="00D0070C">
      <w:pPr>
        <w:pStyle w:val="ListParagraph"/>
        <w:numPr>
          <w:ilvl w:val="0"/>
          <w:numId w:val="15"/>
        </w:numPr>
        <w:spacing w:after="240"/>
        <w:ind w:left="270" w:hanging="270"/>
        <w:jc w:val="both"/>
      </w:pPr>
      <w:r>
        <w:t>partnerships</w:t>
      </w:r>
    </w:p>
    <w:p w14:paraId="7D8C4E2A" w14:textId="4DEAFD8C" w:rsidR="00D0070C" w:rsidRDefault="00D0070C" w:rsidP="00D0070C">
      <w:pPr>
        <w:pStyle w:val="ListParagraph"/>
        <w:numPr>
          <w:ilvl w:val="0"/>
          <w:numId w:val="15"/>
        </w:numPr>
        <w:spacing w:after="240"/>
        <w:ind w:left="270" w:hanging="270"/>
        <w:jc w:val="both"/>
      </w:pPr>
      <w:r>
        <w:t>competitors</w:t>
      </w:r>
    </w:p>
    <w:p w14:paraId="5808D6EF" w14:textId="4B0DB5D5" w:rsidR="00D0070C" w:rsidRDefault="00D0070C" w:rsidP="00D0070C">
      <w:pPr>
        <w:pStyle w:val="ListParagraph"/>
        <w:numPr>
          <w:ilvl w:val="0"/>
          <w:numId w:val="15"/>
        </w:numPr>
        <w:spacing w:after="240"/>
        <w:ind w:left="270" w:hanging="270"/>
        <w:jc w:val="both"/>
      </w:pPr>
      <w:r>
        <w:t>nationality</w:t>
      </w:r>
    </w:p>
    <w:p w14:paraId="052B40B1" w14:textId="68057B47" w:rsidR="00D0070C" w:rsidRDefault="00D0070C" w:rsidP="00D0070C">
      <w:pPr>
        <w:pStyle w:val="ListParagraph"/>
        <w:numPr>
          <w:ilvl w:val="0"/>
          <w:numId w:val="15"/>
        </w:numPr>
        <w:spacing w:after="240"/>
        <w:ind w:left="270" w:hanging="270"/>
        <w:jc w:val="both"/>
      </w:pPr>
      <w:r>
        <w:t>supply chain</w:t>
      </w:r>
    </w:p>
    <w:p w14:paraId="3620F34B" w14:textId="4047F89B" w:rsidR="00BA47E1" w:rsidRDefault="00BA47E1" w:rsidP="00BA47E1">
      <w:pPr>
        <w:pStyle w:val="Heading1"/>
      </w:pPr>
      <w:r>
        <w:t>Verifying Supplier Conformance</w:t>
      </w:r>
    </w:p>
    <w:p w14:paraId="0A718AAE" w14:textId="199BAD04" w:rsidR="00D90BB5" w:rsidRDefault="00254928" w:rsidP="00BA47E1">
      <w:pPr>
        <w:spacing w:after="240"/>
        <w:jc w:val="both"/>
      </w:pPr>
      <w:r>
        <w:t>There are many activities enumerated throughout this document, and those referenced by it. Many of them provide information which needs to be kept current</w:t>
      </w:r>
      <w:r w:rsidR="00BA47E1">
        <w:t>.</w:t>
      </w:r>
      <w:r>
        <w:t xml:space="preserve"> Others are the subject of on-demand review (audit). Typically, descriptions of these are provided throughout the referenced AVCDL documentation. Specific mechanism for ensuring the accuracy of the information provided by the supplier should be established in the cybersecurity elements of the supplier’s service level agreement. </w:t>
      </w:r>
      <w:r w:rsidR="00CC197F">
        <w:t>It is r</w:t>
      </w:r>
      <w:r>
        <w:t>ecogniz</w:t>
      </w:r>
      <w:r w:rsidR="00CC197F">
        <w:t>ed</w:t>
      </w:r>
      <w:r>
        <w:t xml:space="preserve"> that service level agreement </w:t>
      </w:r>
      <w:r w:rsidR="00CC197F">
        <w:t xml:space="preserve">oversight </w:t>
      </w:r>
      <w:r>
        <w:t xml:space="preserve">is </w:t>
      </w:r>
      <w:r w:rsidR="00CC197F">
        <w:t xml:space="preserve">an </w:t>
      </w:r>
      <w:r w:rsidR="00CC197F">
        <w:t>organizational level</w:t>
      </w:r>
      <w:r w:rsidR="00CC197F">
        <w:t xml:space="preserve"> </w:t>
      </w:r>
      <w:r>
        <w:t>responsibility.</w:t>
      </w:r>
    </w:p>
    <w:p w14:paraId="292261D5" w14:textId="0CB8AB5F" w:rsidR="00BA47E1" w:rsidRDefault="00D90BB5" w:rsidP="00BA47E1">
      <w:pPr>
        <w:spacing w:after="240"/>
        <w:jc w:val="both"/>
      </w:pPr>
      <w:r>
        <w:t xml:space="preserve">Additional discussion </w:t>
      </w:r>
      <w:r w:rsidR="00886A57">
        <w:t xml:space="preserve">regarding service level agreements </w:t>
      </w:r>
      <w:r>
        <w:t xml:space="preserve">is provided in the </w:t>
      </w:r>
      <w:r>
        <w:rPr>
          <w:rFonts w:eastAsia="Times New Roman"/>
          <w:lang w:val="en-US"/>
        </w:rPr>
        <w:t>elaboration</w:t>
      </w:r>
      <w:r w:rsidRPr="00BF7473">
        <w:rPr>
          <w:rFonts w:eastAsia="Times New Roman"/>
          <w:lang w:val="en-US"/>
        </w:rPr>
        <w:t xml:space="preserve"> document</w:t>
      </w:r>
      <w:r>
        <w:rPr>
          <w:rFonts w:eastAsia="Times New Roman"/>
          <w:lang w:val="en-US"/>
        </w:rPr>
        <w:t>,</w:t>
      </w:r>
      <w:r>
        <w:rPr>
          <w:b/>
          <w:bCs/>
        </w:rPr>
        <w:t xml:space="preserve"> </w:t>
      </w:r>
      <w:r w:rsidR="00886A57">
        <w:rPr>
          <w:b/>
          <w:bCs/>
        </w:rPr>
        <w:t xml:space="preserve">Understanding Service Level </w:t>
      </w:r>
      <w:r>
        <w:rPr>
          <w:b/>
          <w:bCs/>
        </w:rPr>
        <w:t xml:space="preserve">Agreements in an AVCDL Context </w:t>
      </w:r>
      <w:r w:rsidRPr="00DF2EA8">
        <w:rPr>
          <w:b/>
          <w:bCs/>
          <w:color w:val="0070C0"/>
          <w:vertAlign w:val="superscript"/>
        </w:rPr>
        <w:t>[</w:t>
      </w:r>
      <w:r>
        <w:rPr>
          <w:b/>
          <w:bCs/>
          <w:color w:val="0070C0"/>
          <w:vertAlign w:val="superscript"/>
        </w:rPr>
        <w:t>29</w:t>
      </w:r>
      <w:r w:rsidRPr="00DF2EA8">
        <w:rPr>
          <w:b/>
          <w:bCs/>
          <w:color w:val="0070C0"/>
          <w:vertAlign w:val="superscript"/>
        </w:rPr>
        <w:t>]</w:t>
      </w:r>
      <w:r w:rsidRPr="00D90BB5">
        <w:t>.</w:t>
      </w:r>
    </w:p>
    <w:p w14:paraId="112E5443" w14:textId="77777777" w:rsidR="00345BF1" w:rsidRDefault="00345BF1" w:rsidP="00345BF1">
      <w:pPr>
        <w:rPr>
          <w:sz w:val="40"/>
          <w:szCs w:val="40"/>
        </w:rPr>
      </w:pPr>
      <w:r>
        <w:br w:type="page"/>
      </w:r>
    </w:p>
    <w:p w14:paraId="23144CBE" w14:textId="1ECC8C17" w:rsidR="00345BF1" w:rsidRDefault="00345BF1" w:rsidP="00345BF1">
      <w:pPr>
        <w:pStyle w:val="Heading1"/>
      </w:pPr>
      <w:r>
        <w:lastRenderedPageBreak/>
        <w:t>Supplier Selection</w:t>
      </w:r>
    </w:p>
    <w:p w14:paraId="09ECA6C8" w14:textId="598F0E95" w:rsidR="00E1499D" w:rsidRDefault="00E1499D" w:rsidP="00CE63D3">
      <w:pPr>
        <w:spacing w:after="240"/>
        <w:jc w:val="both"/>
      </w:pPr>
      <w:r>
        <w:t xml:space="preserve">In cases where the supplier has few or no formal cybersecurity processes, the </w:t>
      </w:r>
      <w:r w:rsidRPr="00E1499D">
        <w:rPr>
          <w:b/>
          <w:bCs/>
        </w:rPr>
        <w:t>AVCDL</w:t>
      </w:r>
      <w:r>
        <w:t xml:space="preserve"> may be adopted by the supplier directly. In cases where the supplier has established cybersecurity processes, it is necessary to create a mapping from those to the corresponding </w:t>
      </w:r>
      <w:r w:rsidRPr="00E1499D">
        <w:rPr>
          <w:b/>
          <w:bCs/>
        </w:rPr>
        <w:t>AVCDL</w:t>
      </w:r>
      <w:r>
        <w:t xml:space="preserve"> processes and evaluate whether the vendor processes are sufficient or require augmentation in order to achieve compliance.</w:t>
      </w:r>
    </w:p>
    <w:p w14:paraId="20CADF11" w14:textId="2E5A8730" w:rsidR="003050FA" w:rsidRDefault="003050FA" w:rsidP="003050FA">
      <w:pPr>
        <w:spacing w:after="240" w:line="240" w:lineRule="auto"/>
        <w:jc w:val="both"/>
      </w:pPr>
      <w:bookmarkStart w:id="0" w:name="_ka2wojif16d2" w:colFirst="0" w:colLast="0"/>
      <w:bookmarkEnd w:id="0"/>
      <w:r>
        <w:t xml:space="preserve">The following is the overview of the </w:t>
      </w:r>
      <w:r w:rsidR="00E1499D">
        <w:t>workflow to be applied to make these determinations</w:t>
      </w:r>
      <w:r>
        <w:t>.</w:t>
      </w:r>
    </w:p>
    <w:p w14:paraId="39C2973C" w14:textId="77777777" w:rsidR="00320D3B" w:rsidRDefault="00987C76" w:rsidP="00320D3B">
      <w:pPr>
        <w:spacing w:after="240"/>
      </w:pPr>
      <w:r>
        <w:rPr>
          <w:noProof/>
        </w:rPr>
        <w:drawing>
          <wp:inline distT="0" distB="0" distL="0" distR="0" wp14:anchorId="26E73454" wp14:editId="0F11B81E">
            <wp:extent cx="5943600" cy="447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5AE66B17" w14:textId="77777777" w:rsidR="008529F0" w:rsidRDefault="00320D3B" w:rsidP="00320D3B">
      <w:pPr>
        <w:spacing w:after="240"/>
        <w:jc w:val="both"/>
      </w:pPr>
      <w:r>
        <w:t>There are two supplier selection phases: request for information (RFI) and request for quote (RFQ). In order for the cybersecurity requirements of a product to be fulfilled, it is critical to ensure that all supplied elements of the product be capable of supporting those requirements. As can be seen above, multiple pieces of information (in yellow) provided by the supplier are used to establish each element’s cybersecurity requirements</w:t>
      </w:r>
      <w:r w:rsidR="008529F0">
        <w:t>,</w:t>
      </w:r>
      <w:r>
        <w:t xml:space="preserve"> and also the inter-organization cybersecurity interface agreement</w:t>
      </w:r>
      <w:r w:rsidR="008529F0">
        <w:t xml:space="preserve"> (CIA) and service level agreement (SLA)</w:t>
      </w:r>
      <w:r>
        <w:t>.</w:t>
      </w:r>
    </w:p>
    <w:p w14:paraId="27995082" w14:textId="1396C659" w:rsidR="006B5232" w:rsidRPr="00320D3B" w:rsidRDefault="008529F0" w:rsidP="00320D3B">
      <w:pPr>
        <w:spacing w:after="240"/>
        <w:jc w:val="both"/>
      </w:pPr>
      <w:r>
        <w:t>During the product’s development, suppliers will be expected to provide a threat analysis / risk assessment (TARA) and software bill of materials (SBOM) for their element.</w:t>
      </w:r>
      <w:r w:rsidR="006B5232">
        <w:br w:type="page"/>
      </w:r>
    </w:p>
    <w:p w14:paraId="49A478AB" w14:textId="47094DDD" w:rsidR="00B93D6D" w:rsidRDefault="00486EBD" w:rsidP="00D602F9">
      <w:pPr>
        <w:pStyle w:val="Heading1"/>
      </w:pPr>
      <w:r>
        <w:lastRenderedPageBreak/>
        <w:t>Guidance Documents</w:t>
      </w:r>
      <w:r w:rsidR="00417AA5">
        <w:t xml:space="preserve"> and Dependencies</w:t>
      </w:r>
    </w:p>
    <w:p w14:paraId="05871AAD" w14:textId="58375971" w:rsidR="003050FA" w:rsidRDefault="002D1036" w:rsidP="009C0DEC">
      <w:pPr>
        <w:spacing w:after="240"/>
        <w:jc w:val="both"/>
      </w:pPr>
      <w:bookmarkStart w:id="1" w:name="_Detail_Cybersecurity_Processes"/>
      <w:bookmarkEnd w:id="1"/>
      <w:r>
        <w:t>The following diagram shows the overall relationship between the various documents (reference and created) directly applicable to supplier-customer interactions</w:t>
      </w:r>
      <w:r w:rsidR="009C0DEC">
        <w:t>.</w:t>
      </w:r>
    </w:p>
    <w:p w14:paraId="2B1700F1" w14:textId="6A827ED8" w:rsidR="003050FA" w:rsidRDefault="007A64B2" w:rsidP="003050FA">
      <w:pPr>
        <w:jc w:val="center"/>
      </w:pPr>
      <w:r>
        <w:rPr>
          <w:noProof/>
        </w:rPr>
        <w:drawing>
          <wp:inline distT="0" distB="0" distL="0" distR="0" wp14:anchorId="2B49201A" wp14:editId="588696AD">
            <wp:extent cx="5914412" cy="5980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4412" cy="5980430"/>
                    </a:xfrm>
                    <a:prstGeom prst="rect">
                      <a:avLst/>
                    </a:prstGeom>
                  </pic:spPr>
                </pic:pic>
              </a:graphicData>
            </a:graphic>
          </wp:inline>
        </w:drawing>
      </w:r>
    </w:p>
    <w:p w14:paraId="2C8BE9D4" w14:textId="77777777" w:rsidR="003050FA" w:rsidRDefault="003050FA" w:rsidP="003050FA"/>
    <w:p w14:paraId="2B54B39C" w14:textId="6E51A0EA" w:rsidR="002D5B51" w:rsidRDefault="00361DF6" w:rsidP="00361DF6">
      <w:pPr>
        <w:spacing w:after="240"/>
        <w:ind w:left="720" w:hanging="720"/>
        <w:jc w:val="both"/>
      </w:pPr>
      <w:r w:rsidRPr="00361DF6">
        <w:rPr>
          <w:b/>
          <w:bCs/>
          <w:color w:val="0070C0"/>
        </w:rPr>
        <w:t>Note:</w:t>
      </w:r>
      <w:r>
        <w:tab/>
        <w:t xml:space="preserve">The blog post </w:t>
      </w:r>
      <w:r w:rsidRPr="00361DF6">
        <w:rPr>
          <w:b/>
          <w:bCs/>
        </w:rPr>
        <w:t>Turtles All the Way Down: Security at Every Level</w:t>
      </w:r>
      <w:r>
        <w:t xml:space="preserve"> </w:t>
      </w:r>
      <w:r w:rsidRPr="00361DF6">
        <w:rPr>
          <w:b/>
          <w:bCs/>
          <w:color w:val="0070C0"/>
          <w:vertAlign w:val="superscript"/>
        </w:rPr>
        <w:t>[2]</w:t>
      </w:r>
      <w:r>
        <w:t>, which provides the motivation for application of cybersecurity across the supply chain, will not be covered here. It is provided for completeness only.</w:t>
      </w:r>
    </w:p>
    <w:p w14:paraId="3E481E84" w14:textId="77777777" w:rsidR="003050FA" w:rsidRDefault="003050FA">
      <w:pPr>
        <w:rPr>
          <w:sz w:val="32"/>
          <w:szCs w:val="32"/>
        </w:rPr>
      </w:pPr>
      <w:r>
        <w:br w:type="page"/>
      </w:r>
    </w:p>
    <w:p w14:paraId="43D9452D" w14:textId="04A8C1D9" w:rsidR="00D66F51" w:rsidRDefault="00C37A50" w:rsidP="00DF2EA8">
      <w:pPr>
        <w:pStyle w:val="Heading2"/>
      </w:pPr>
      <w:bookmarkStart w:id="2" w:name="_Create_Vendor_–"/>
      <w:bookmarkEnd w:id="2"/>
      <w:r>
        <w:lastRenderedPageBreak/>
        <w:t xml:space="preserve">Supplier </w:t>
      </w:r>
      <w:r w:rsidR="00D66F51">
        <w:t>Cybersecurity Maturity Metrics (CMM)</w:t>
      </w:r>
    </w:p>
    <w:p w14:paraId="013FAFEF" w14:textId="17485F85" w:rsidR="00D66F51" w:rsidRDefault="00D66F51" w:rsidP="00D66F51">
      <w:pPr>
        <w:spacing w:after="240"/>
        <w:jc w:val="both"/>
      </w:pPr>
      <w:r>
        <w:t xml:space="preserve">The following diagram shows the </w:t>
      </w:r>
      <w:r w:rsidR="005C09BE">
        <w:t>documents related to the creation and tracking of supplier cybersecurity maturity</w:t>
      </w:r>
      <w:r>
        <w:t>.</w:t>
      </w:r>
    </w:p>
    <w:p w14:paraId="034D1C79" w14:textId="77777777" w:rsidR="00D66F51" w:rsidRDefault="00D66F51" w:rsidP="00D66F51">
      <w:pPr>
        <w:jc w:val="center"/>
      </w:pPr>
      <w:r>
        <w:rPr>
          <w:noProof/>
        </w:rPr>
        <w:drawing>
          <wp:inline distT="0" distB="0" distL="0" distR="0" wp14:anchorId="56A49B47" wp14:editId="02A631C1">
            <wp:extent cx="5943600" cy="2240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0907"/>
                    </a:xfrm>
                    <a:prstGeom prst="rect">
                      <a:avLst/>
                    </a:prstGeom>
                  </pic:spPr>
                </pic:pic>
              </a:graphicData>
            </a:graphic>
          </wp:inline>
        </w:drawing>
      </w:r>
    </w:p>
    <w:p w14:paraId="404A0DB9" w14:textId="77777777" w:rsidR="00D66F51" w:rsidRDefault="00D66F51" w:rsidP="00D66F51"/>
    <w:p w14:paraId="73FD4748" w14:textId="69503323" w:rsidR="00D66F51" w:rsidRDefault="009C784C" w:rsidP="00D66F51">
      <w:pPr>
        <w:spacing w:after="240"/>
        <w:jc w:val="both"/>
      </w:pPr>
      <w:r>
        <w:t>G</w:t>
      </w:r>
      <w:r w:rsidR="00C37A50">
        <w:t xml:space="preserve">uided by the </w:t>
      </w:r>
      <w:r w:rsidR="00C37A50" w:rsidRPr="00C37A50">
        <w:rPr>
          <w:b/>
          <w:bCs/>
        </w:rPr>
        <w:t>Supplier Self-reported Cybersecurity Maturity Assessment</w:t>
      </w:r>
      <w:r w:rsidR="00C37A50">
        <w:rPr>
          <w:b/>
          <w:bCs/>
        </w:rPr>
        <w:t xml:space="preserve"> </w:t>
      </w:r>
      <w:r w:rsidR="00C37A50" w:rsidRPr="00C37A50">
        <w:rPr>
          <w:b/>
          <w:bCs/>
          <w:color w:val="0070C0"/>
          <w:vertAlign w:val="superscript"/>
        </w:rPr>
        <w:t>[3]</w:t>
      </w:r>
      <w:r w:rsidR="00C37A50" w:rsidRPr="00C37A50">
        <w:rPr>
          <w:b/>
          <w:bCs/>
        </w:rPr>
        <w:t xml:space="preserve"> AVCDL</w:t>
      </w:r>
      <w:r w:rsidR="00C37A50">
        <w:t xml:space="preserve"> secondary document</w:t>
      </w:r>
      <w:r>
        <w:t>,</w:t>
      </w:r>
      <w:r w:rsidR="00C37A50">
        <w:t xml:space="preserve"> </w:t>
      </w:r>
      <w:r>
        <w:t xml:space="preserve">the supplier </w:t>
      </w:r>
      <w:r w:rsidR="00C37A50">
        <w:t xml:space="preserve">uses the </w:t>
      </w:r>
      <w:r w:rsidR="00C37A50" w:rsidRPr="00C37A50">
        <w:rPr>
          <w:b/>
          <w:bCs/>
        </w:rPr>
        <w:t>AVCDL vendor CMM template</w:t>
      </w:r>
      <w:r w:rsidR="00C37A50">
        <w:t xml:space="preserve"> </w:t>
      </w:r>
      <w:r w:rsidR="00C37A50" w:rsidRPr="00C37A50">
        <w:rPr>
          <w:b/>
          <w:bCs/>
          <w:color w:val="0070C0"/>
          <w:vertAlign w:val="superscript"/>
        </w:rPr>
        <w:t>[4]</w:t>
      </w:r>
      <w:r w:rsidR="00C37A50">
        <w:t xml:space="preserve"> to create their</w:t>
      </w:r>
      <w:r w:rsidR="00826A15">
        <w:t xml:space="preserve"> </w:t>
      </w:r>
      <w:r w:rsidR="00826A15" w:rsidRPr="00826A15">
        <w:rPr>
          <w:b/>
          <w:bCs/>
        </w:rPr>
        <w:t>supplier self-reported cybersecurity process maturity</w:t>
      </w:r>
      <w:r w:rsidR="00826A15">
        <w:t xml:space="preserve"> document.</w:t>
      </w:r>
      <w:r w:rsidR="005375A8">
        <w:t xml:space="preserve"> The blog post </w:t>
      </w:r>
      <w:r w:rsidR="005375A8" w:rsidRPr="009C784C">
        <w:rPr>
          <w:b/>
          <w:bCs/>
        </w:rPr>
        <w:t>Where are You at? Level Setting Supplier Cybersecurity Maturity</w:t>
      </w:r>
      <w:r>
        <w:t xml:space="preserve"> </w:t>
      </w:r>
      <w:r w:rsidRPr="009C784C">
        <w:rPr>
          <w:b/>
          <w:bCs/>
          <w:color w:val="0070C0"/>
          <w:vertAlign w:val="superscript"/>
        </w:rPr>
        <w:t>[6]</w:t>
      </w:r>
      <w:r>
        <w:t xml:space="preserve"> provides a background for this document.</w:t>
      </w:r>
    </w:p>
    <w:p w14:paraId="46ED52B7" w14:textId="63ECE91B" w:rsidR="009C784C" w:rsidRDefault="009C784C" w:rsidP="00D66F51">
      <w:pPr>
        <w:spacing w:after="240"/>
        <w:jc w:val="both"/>
      </w:pPr>
      <w:r>
        <w:t xml:space="preserve">Using the </w:t>
      </w:r>
      <w:r w:rsidRPr="009C784C">
        <w:rPr>
          <w:b/>
          <w:bCs/>
        </w:rPr>
        <w:t xml:space="preserve">AVCDL vendor CMM progress template </w:t>
      </w:r>
      <w:r w:rsidRPr="009C784C">
        <w:rPr>
          <w:b/>
          <w:bCs/>
          <w:color w:val="0070C0"/>
          <w:vertAlign w:val="superscript"/>
        </w:rPr>
        <w:t>[7]</w:t>
      </w:r>
      <w:r>
        <w:t xml:space="preserve"> the customer creates a </w:t>
      </w:r>
      <w:r w:rsidRPr="009C784C">
        <w:rPr>
          <w:b/>
          <w:bCs/>
        </w:rPr>
        <w:t>vendor CMM progress</w:t>
      </w:r>
      <w:r>
        <w:t xml:space="preserve"> document to track the evolution of the supplier over time. This supports the desire to improve an element’s cybersecurity posture over time.</w:t>
      </w:r>
    </w:p>
    <w:p w14:paraId="7DB380F2" w14:textId="77777777" w:rsidR="00D66F51" w:rsidRDefault="00D66F51">
      <w:pPr>
        <w:rPr>
          <w:sz w:val="40"/>
          <w:szCs w:val="40"/>
        </w:rPr>
      </w:pPr>
      <w:r>
        <w:br w:type="page"/>
      </w:r>
    </w:p>
    <w:p w14:paraId="22B72B37" w14:textId="4E51AF26" w:rsidR="00D66F51" w:rsidRDefault="00D66F51" w:rsidP="00DF2EA8">
      <w:pPr>
        <w:pStyle w:val="Heading2"/>
      </w:pPr>
      <w:r>
        <w:lastRenderedPageBreak/>
        <w:t>Manufacturer Disclosure Statement (AVCMDS)</w:t>
      </w:r>
    </w:p>
    <w:p w14:paraId="68019A32" w14:textId="7BCD4D59" w:rsidR="00D66F51" w:rsidRDefault="009C784C" w:rsidP="00D66F51">
      <w:pPr>
        <w:spacing w:after="240"/>
        <w:jc w:val="both"/>
      </w:pPr>
      <w:r>
        <w:t xml:space="preserve">The following diagram shows the documents related to the creation </w:t>
      </w:r>
      <w:r w:rsidR="0083626F">
        <w:t>o</w:t>
      </w:r>
      <w:r w:rsidR="00BA47E1">
        <w:t>f</w:t>
      </w:r>
      <w:r w:rsidR="0083626F">
        <w:t xml:space="preserve"> </w:t>
      </w:r>
      <w:r w:rsidR="00A12215">
        <w:t>the supplier</w:t>
      </w:r>
      <w:r w:rsidR="00EF1F6C">
        <w:t>’</w:t>
      </w:r>
      <w:r w:rsidR="00A12215">
        <w:t>s</w:t>
      </w:r>
      <w:r w:rsidR="00EF1F6C">
        <w:t xml:space="preserve"> cybersecurity disclosure statement</w:t>
      </w:r>
      <w:r w:rsidR="00D66F51">
        <w:t>.</w:t>
      </w:r>
    </w:p>
    <w:p w14:paraId="2085595E" w14:textId="77777777" w:rsidR="00D66F51" w:rsidRDefault="00D66F51" w:rsidP="00D66F51">
      <w:pPr>
        <w:jc w:val="center"/>
      </w:pPr>
      <w:r>
        <w:rPr>
          <w:noProof/>
        </w:rPr>
        <w:drawing>
          <wp:inline distT="0" distB="0" distL="0" distR="0" wp14:anchorId="4987AF30" wp14:editId="0C0C2471">
            <wp:extent cx="4419600" cy="166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73602" cy="1687551"/>
                    </a:xfrm>
                    <a:prstGeom prst="rect">
                      <a:avLst/>
                    </a:prstGeom>
                  </pic:spPr>
                </pic:pic>
              </a:graphicData>
            </a:graphic>
          </wp:inline>
        </w:drawing>
      </w:r>
    </w:p>
    <w:p w14:paraId="36C21F86" w14:textId="77777777" w:rsidR="00D66F51" w:rsidRDefault="00D66F51" w:rsidP="00D66F51"/>
    <w:p w14:paraId="26FADB38" w14:textId="3EC8B090" w:rsidR="009C784C" w:rsidRDefault="009C784C" w:rsidP="009C784C">
      <w:pPr>
        <w:spacing w:after="240"/>
        <w:jc w:val="both"/>
      </w:pPr>
      <w:r>
        <w:t xml:space="preserve">Guided by the </w:t>
      </w:r>
      <w:r w:rsidR="00EF1F6C">
        <w:rPr>
          <w:b/>
          <w:bCs/>
        </w:rPr>
        <w:t>Autonomous Vehicle Cybersecurity Manufacturer Disclosure Statement</w:t>
      </w:r>
      <w:r>
        <w:rPr>
          <w:b/>
          <w:bCs/>
        </w:rPr>
        <w:t xml:space="preserve"> </w:t>
      </w:r>
      <w:r w:rsidRPr="00C37A50">
        <w:rPr>
          <w:b/>
          <w:bCs/>
          <w:color w:val="0070C0"/>
          <w:vertAlign w:val="superscript"/>
        </w:rPr>
        <w:t>[</w:t>
      </w:r>
      <w:r w:rsidR="00EF1F6C">
        <w:rPr>
          <w:b/>
          <w:bCs/>
          <w:color w:val="0070C0"/>
          <w:vertAlign w:val="superscript"/>
        </w:rPr>
        <w:t>8</w:t>
      </w:r>
      <w:r w:rsidRPr="00C37A50">
        <w:rPr>
          <w:b/>
          <w:bCs/>
          <w:color w:val="0070C0"/>
          <w:vertAlign w:val="superscript"/>
        </w:rPr>
        <w:t>]</w:t>
      </w:r>
      <w:r w:rsidRPr="00C37A50">
        <w:rPr>
          <w:b/>
          <w:bCs/>
        </w:rPr>
        <w:t xml:space="preserve"> AVCDL</w:t>
      </w:r>
      <w:r>
        <w:t xml:space="preserve"> secondary document, the supplier uses the </w:t>
      </w:r>
      <w:r w:rsidR="00EF1F6C">
        <w:rPr>
          <w:b/>
          <w:bCs/>
        </w:rPr>
        <w:t>AVCMDS worksheet</w:t>
      </w:r>
      <w:r w:rsidRPr="00C37A50">
        <w:rPr>
          <w:b/>
          <w:bCs/>
        </w:rPr>
        <w:t xml:space="preserve"> template</w:t>
      </w:r>
      <w:r>
        <w:t xml:space="preserve"> </w:t>
      </w:r>
      <w:r w:rsidRPr="00C37A50">
        <w:rPr>
          <w:b/>
          <w:bCs/>
          <w:color w:val="0070C0"/>
          <w:vertAlign w:val="superscript"/>
        </w:rPr>
        <w:t>[</w:t>
      </w:r>
      <w:r w:rsidR="00EF1F6C">
        <w:rPr>
          <w:b/>
          <w:bCs/>
          <w:color w:val="0070C0"/>
          <w:vertAlign w:val="superscript"/>
        </w:rPr>
        <w:t>9</w:t>
      </w:r>
      <w:r w:rsidRPr="00C37A50">
        <w:rPr>
          <w:b/>
          <w:bCs/>
          <w:color w:val="0070C0"/>
          <w:vertAlign w:val="superscript"/>
        </w:rPr>
        <w:t>]</w:t>
      </w:r>
      <w:r>
        <w:t xml:space="preserve"> to create their </w:t>
      </w:r>
      <w:r w:rsidRPr="00826A15">
        <w:rPr>
          <w:b/>
          <w:bCs/>
        </w:rPr>
        <w:t xml:space="preserve">supplier </w:t>
      </w:r>
      <w:r w:rsidR="00EF1F6C">
        <w:rPr>
          <w:b/>
          <w:bCs/>
        </w:rPr>
        <w:t>cybersecurity disclosure statement (AVCMDS)</w:t>
      </w:r>
      <w:r>
        <w:t xml:space="preserve"> document. The blog post </w:t>
      </w:r>
      <w:r w:rsidR="00EF1F6C" w:rsidRPr="00EF1F6C">
        <w:rPr>
          <w:b/>
          <w:bCs/>
        </w:rPr>
        <w:t>AVCMDS: Autonomous Vehicle Cybersecurity Manufacturer Disclosure Statement</w:t>
      </w:r>
      <w:r>
        <w:t xml:space="preserve"> </w:t>
      </w:r>
      <w:r w:rsidRPr="009C784C">
        <w:rPr>
          <w:b/>
          <w:bCs/>
          <w:color w:val="0070C0"/>
          <w:vertAlign w:val="superscript"/>
        </w:rPr>
        <w:t>[</w:t>
      </w:r>
      <w:r w:rsidR="00EF1F6C">
        <w:rPr>
          <w:b/>
          <w:bCs/>
          <w:color w:val="0070C0"/>
          <w:vertAlign w:val="superscript"/>
        </w:rPr>
        <w:t>10</w:t>
      </w:r>
      <w:r w:rsidRPr="009C784C">
        <w:rPr>
          <w:b/>
          <w:bCs/>
          <w:color w:val="0070C0"/>
          <w:vertAlign w:val="superscript"/>
        </w:rPr>
        <w:t>]</w:t>
      </w:r>
      <w:r>
        <w:t xml:space="preserve"> provides a background for this document.</w:t>
      </w:r>
    </w:p>
    <w:p w14:paraId="00B8BC1A" w14:textId="57463156" w:rsidR="009C784C" w:rsidRDefault="0028293D" w:rsidP="0028293D">
      <w:pPr>
        <w:spacing w:after="240"/>
        <w:ind w:left="720" w:hanging="720"/>
        <w:jc w:val="both"/>
      </w:pPr>
      <w:r w:rsidRPr="0028293D">
        <w:rPr>
          <w:b/>
          <w:bCs/>
          <w:color w:val="0070C0"/>
        </w:rPr>
        <w:t>Note:</w:t>
      </w:r>
      <w:r w:rsidRPr="0028293D">
        <w:rPr>
          <w:b/>
          <w:bCs/>
          <w:color w:val="0070C0"/>
        </w:rPr>
        <w:tab/>
      </w:r>
      <w:r>
        <w:t xml:space="preserve">The </w:t>
      </w:r>
      <w:r w:rsidRPr="0028293D">
        <w:rPr>
          <w:b/>
          <w:bCs/>
        </w:rPr>
        <w:t>AVCMDS</w:t>
      </w:r>
      <w:r>
        <w:t xml:space="preserve"> contains material of interest to the IT and OT groups within the customer’s organization</w:t>
      </w:r>
      <w:r w:rsidR="009C784C">
        <w:t>.</w:t>
      </w:r>
    </w:p>
    <w:p w14:paraId="12E16D5F" w14:textId="77777777" w:rsidR="00D66F51" w:rsidRDefault="00D66F51">
      <w:pPr>
        <w:rPr>
          <w:sz w:val="40"/>
          <w:szCs w:val="40"/>
        </w:rPr>
      </w:pPr>
      <w:r>
        <w:br w:type="page"/>
      </w:r>
    </w:p>
    <w:p w14:paraId="62ABC7C0" w14:textId="69AAAD42" w:rsidR="00D66F51" w:rsidRDefault="00D66F51" w:rsidP="00DF2EA8">
      <w:pPr>
        <w:pStyle w:val="Heading2"/>
      </w:pPr>
      <w:r>
        <w:lastRenderedPageBreak/>
        <w:t>Supplier Process Mapping</w:t>
      </w:r>
    </w:p>
    <w:p w14:paraId="731AF214" w14:textId="41C1A6BD" w:rsidR="00D66F51" w:rsidRDefault="009C784C" w:rsidP="00D66F51">
      <w:pPr>
        <w:spacing w:after="240"/>
        <w:jc w:val="both"/>
      </w:pPr>
      <w:r>
        <w:t xml:space="preserve">The following diagram shows the documents related to the creation of supplier cybersecurity </w:t>
      </w:r>
      <w:r w:rsidR="0028293D">
        <w:t>process to AVCDL process mapping</w:t>
      </w:r>
      <w:r w:rsidR="00D66F51">
        <w:t>.</w:t>
      </w:r>
    </w:p>
    <w:p w14:paraId="6BC5E798" w14:textId="77777777" w:rsidR="00D66F51" w:rsidRDefault="00D66F51" w:rsidP="00D66F51">
      <w:pPr>
        <w:jc w:val="center"/>
      </w:pPr>
      <w:r>
        <w:rPr>
          <w:noProof/>
        </w:rPr>
        <w:drawing>
          <wp:inline distT="0" distB="0" distL="0" distR="0" wp14:anchorId="27746987" wp14:editId="65BBD063">
            <wp:extent cx="3257550" cy="115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59909" cy="1230764"/>
                    </a:xfrm>
                    <a:prstGeom prst="rect">
                      <a:avLst/>
                    </a:prstGeom>
                  </pic:spPr>
                </pic:pic>
              </a:graphicData>
            </a:graphic>
          </wp:inline>
        </w:drawing>
      </w:r>
    </w:p>
    <w:p w14:paraId="225295A7" w14:textId="77777777" w:rsidR="00D66F51" w:rsidRDefault="00D66F51" w:rsidP="00D66F51"/>
    <w:p w14:paraId="6467A5E0" w14:textId="3D2674A8" w:rsidR="0028293D" w:rsidRDefault="0028293D" w:rsidP="0028293D">
      <w:pPr>
        <w:spacing w:after="240"/>
        <w:jc w:val="both"/>
      </w:pPr>
      <w:r>
        <w:t xml:space="preserve">Guided by the </w:t>
      </w:r>
      <w:r>
        <w:rPr>
          <w:b/>
          <w:bCs/>
        </w:rPr>
        <w:t xml:space="preserve">Understanding Supply Chain Process Mapping </w:t>
      </w:r>
      <w:r w:rsidRPr="00C37A50">
        <w:rPr>
          <w:b/>
          <w:bCs/>
          <w:color w:val="0070C0"/>
          <w:vertAlign w:val="superscript"/>
        </w:rPr>
        <w:t>[</w:t>
      </w:r>
      <w:r>
        <w:rPr>
          <w:b/>
          <w:bCs/>
          <w:color w:val="0070C0"/>
          <w:vertAlign w:val="superscript"/>
        </w:rPr>
        <w:t>11</w:t>
      </w:r>
      <w:r w:rsidRPr="00C37A50">
        <w:rPr>
          <w:b/>
          <w:bCs/>
          <w:color w:val="0070C0"/>
          <w:vertAlign w:val="superscript"/>
        </w:rPr>
        <w:t>]</w:t>
      </w:r>
      <w:r w:rsidRPr="00C37A50">
        <w:rPr>
          <w:b/>
          <w:bCs/>
        </w:rPr>
        <w:t xml:space="preserve"> AVCDL</w:t>
      </w:r>
      <w:r>
        <w:t xml:space="preserve"> elaboration document, the supplier uses the </w:t>
      </w:r>
      <w:r>
        <w:rPr>
          <w:b/>
          <w:bCs/>
        </w:rPr>
        <w:t>vendor process – AVCDL product mapping</w:t>
      </w:r>
      <w:r w:rsidRPr="00C37A50">
        <w:rPr>
          <w:b/>
          <w:bCs/>
        </w:rPr>
        <w:t xml:space="preserve"> template</w:t>
      </w:r>
      <w:r>
        <w:t xml:space="preserve"> </w:t>
      </w:r>
      <w:r w:rsidRPr="00C37A50">
        <w:rPr>
          <w:b/>
          <w:bCs/>
          <w:color w:val="0070C0"/>
          <w:vertAlign w:val="superscript"/>
        </w:rPr>
        <w:t>[</w:t>
      </w:r>
      <w:r>
        <w:rPr>
          <w:b/>
          <w:bCs/>
          <w:color w:val="0070C0"/>
          <w:vertAlign w:val="superscript"/>
        </w:rPr>
        <w:t>12</w:t>
      </w:r>
      <w:r w:rsidRPr="00C37A50">
        <w:rPr>
          <w:b/>
          <w:bCs/>
          <w:color w:val="0070C0"/>
          <w:vertAlign w:val="superscript"/>
        </w:rPr>
        <w:t>]</w:t>
      </w:r>
      <w:r>
        <w:t xml:space="preserve"> to create their </w:t>
      </w:r>
      <w:r>
        <w:rPr>
          <w:b/>
          <w:bCs/>
        </w:rPr>
        <w:t>vendor process – AVCDL product mapping</w:t>
      </w:r>
      <w:r>
        <w:t xml:space="preserve"> document.</w:t>
      </w:r>
    </w:p>
    <w:p w14:paraId="07561C43" w14:textId="15D13A07" w:rsidR="0028293D" w:rsidRDefault="0028293D" w:rsidP="0028293D">
      <w:pPr>
        <w:spacing w:after="240"/>
        <w:ind w:left="720" w:hanging="720"/>
        <w:jc w:val="both"/>
      </w:pPr>
      <w:r w:rsidRPr="0028293D">
        <w:rPr>
          <w:b/>
          <w:bCs/>
          <w:color w:val="0070C0"/>
        </w:rPr>
        <w:t>Note:</w:t>
      </w:r>
      <w:r w:rsidRPr="0028293D">
        <w:rPr>
          <w:b/>
          <w:bCs/>
          <w:color w:val="0070C0"/>
        </w:rPr>
        <w:tab/>
      </w:r>
      <w:r>
        <w:t>This document is optional. Its creation is required when the supplier has a pre-existing set of cybersecurity lifecycle processes.</w:t>
      </w:r>
    </w:p>
    <w:p w14:paraId="257A0EC8" w14:textId="77777777" w:rsidR="00D66F51" w:rsidRDefault="00D66F51">
      <w:pPr>
        <w:rPr>
          <w:sz w:val="40"/>
          <w:szCs w:val="40"/>
        </w:rPr>
      </w:pPr>
      <w:r>
        <w:br w:type="page"/>
      </w:r>
    </w:p>
    <w:p w14:paraId="13865159" w14:textId="7E15E1DD" w:rsidR="002F2D66" w:rsidRDefault="002F2D66" w:rsidP="002F2D66">
      <w:pPr>
        <w:pStyle w:val="Heading2"/>
      </w:pPr>
      <w:r>
        <w:lastRenderedPageBreak/>
        <w:t>Global Cybersecurity Requirements Catalog</w:t>
      </w:r>
    </w:p>
    <w:p w14:paraId="22EB8439" w14:textId="54BECBF9" w:rsidR="002F2D66" w:rsidRDefault="002F2D66" w:rsidP="002F2D66">
      <w:pPr>
        <w:spacing w:after="240"/>
        <w:jc w:val="both"/>
      </w:pPr>
      <w:r>
        <w:t xml:space="preserve">The following diagram shows the documents related to the creation of </w:t>
      </w:r>
      <w:r w:rsidR="00DD714C">
        <w:t xml:space="preserve">the </w:t>
      </w:r>
      <w:r w:rsidR="00AD6BB0">
        <w:t xml:space="preserve">customer’s </w:t>
      </w:r>
      <w:r w:rsidR="00DD714C">
        <w:t>global cybersecurity requirements catalog</w:t>
      </w:r>
      <w:r>
        <w:t>.</w:t>
      </w:r>
    </w:p>
    <w:p w14:paraId="403C3DB9" w14:textId="5F6188F9" w:rsidR="002F2D66" w:rsidRDefault="002F2D66" w:rsidP="002F2D66">
      <w:pPr>
        <w:jc w:val="center"/>
      </w:pPr>
      <w:r>
        <w:rPr>
          <w:noProof/>
        </w:rPr>
        <w:drawing>
          <wp:inline distT="0" distB="0" distL="0" distR="0" wp14:anchorId="3BD0A45B" wp14:editId="7BE5F3E8">
            <wp:extent cx="3063558"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086163" cy="2206915"/>
                    </a:xfrm>
                    <a:prstGeom prst="rect">
                      <a:avLst/>
                    </a:prstGeom>
                  </pic:spPr>
                </pic:pic>
              </a:graphicData>
            </a:graphic>
          </wp:inline>
        </w:drawing>
      </w:r>
    </w:p>
    <w:p w14:paraId="6218B2D4" w14:textId="77777777" w:rsidR="002F2D66" w:rsidRDefault="002F2D66" w:rsidP="002F2D66"/>
    <w:p w14:paraId="689159F0" w14:textId="19B082A3" w:rsidR="002F2D66" w:rsidRDefault="002F2D66" w:rsidP="002F2D66">
      <w:pPr>
        <w:spacing w:after="240"/>
        <w:jc w:val="both"/>
      </w:pPr>
      <w:r>
        <w:t xml:space="preserve">Guided by the </w:t>
      </w:r>
      <w:r w:rsidR="004354CA">
        <w:rPr>
          <w:b/>
          <w:bCs/>
        </w:rPr>
        <w:t>Security Requirements Taxonomy</w:t>
      </w:r>
      <w:r>
        <w:rPr>
          <w:b/>
          <w:bCs/>
        </w:rPr>
        <w:t xml:space="preserve"> </w:t>
      </w:r>
      <w:r w:rsidRPr="00C37A50">
        <w:rPr>
          <w:b/>
          <w:bCs/>
          <w:color w:val="0070C0"/>
          <w:vertAlign w:val="superscript"/>
        </w:rPr>
        <w:t>[</w:t>
      </w:r>
      <w:r>
        <w:rPr>
          <w:b/>
          <w:bCs/>
          <w:color w:val="0070C0"/>
          <w:vertAlign w:val="superscript"/>
        </w:rPr>
        <w:t>1</w:t>
      </w:r>
      <w:r w:rsidR="004354CA">
        <w:rPr>
          <w:b/>
          <w:bCs/>
          <w:color w:val="0070C0"/>
          <w:vertAlign w:val="superscript"/>
        </w:rPr>
        <w:t>3</w:t>
      </w:r>
      <w:r w:rsidRPr="00C37A50">
        <w:rPr>
          <w:b/>
          <w:bCs/>
          <w:color w:val="0070C0"/>
          <w:vertAlign w:val="superscript"/>
        </w:rPr>
        <w:t>]</w:t>
      </w:r>
      <w:r w:rsidRPr="00C37A50">
        <w:rPr>
          <w:b/>
          <w:bCs/>
        </w:rPr>
        <w:t xml:space="preserve"> AVCDL</w:t>
      </w:r>
      <w:r>
        <w:t xml:space="preserve"> </w:t>
      </w:r>
      <w:r w:rsidR="004354CA">
        <w:t>secondary</w:t>
      </w:r>
      <w:r>
        <w:t xml:space="preserve"> document, the </w:t>
      </w:r>
      <w:r w:rsidR="004354CA">
        <w:t>customer</w:t>
      </w:r>
      <w:r>
        <w:t xml:space="preserve"> </w:t>
      </w:r>
      <w:r w:rsidR="00AD6BB0">
        <w:t>creates</w:t>
      </w:r>
      <w:r>
        <w:t xml:space="preserve"> their </w:t>
      </w:r>
      <w:r w:rsidR="004354CA">
        <w:rPr>
          <w:b/>
          <w:bCs/>
        </w:rPr>
        <w:t>cybersecurity requirements per taxonomy</w:t>
      </w:r>
      <w:r>
        <w:t xml:space="preserve"> </w:t>
      </w:r>
      <w:r w:rsidR="004354CA" w:rsidRPr="00C37A50">
        <w:rPr>
          <w:b/>
          <w:bCs/>
          <w:color w:val="0070C0"/>
          <w:vertAlign w:val="superscript"/>
        </w:rPr>
        <w:t>[</w:t>
      </w:r>
      <w:r w:rsidR="004354CA">
        <w:rPr>
          <w:b/>
          <w:bCs/>
          <w:color w:val="0070C0"/>
          <w:vertAlign w:val="superscript"/>
        </w:rPr>
        <w:t>14</w:t>
      </w:r>
      <w:r w:rsidR="004354CA" w:rsidRPr="00C37A50">
        <w:rPr>
          <w:b/>
          <w:bCs/>
          <w:color w:val="0070C0"/>
          <w:vertAlign w:val="superscript"/>
        </w:rPr>
        <w:t>]</w:t>
      </w:r>
      <w:r>
        <w:t>.</w:t>
      </w:r>
      <w:r w:rsidR="004354CA">
        <w:t xml:space="preserve"> Guided by the </w:t>
      </w:r>
      <w:r w:rsidR="004354CA" w:rsidRPr="004354CA">
        <w:rPr>
          <w:b/>
          <w:bCs/>
        </w:rPr>
        <w:t>Global Security Requirements</w:t>
      </w:r>
      <w:r w:rsidR="004354CA">
        <w:t xml:space="preserve"> </w:t>
      </w:r>
      <w:r w:rsidR="004354CA" w:rsidRPr="00C37A50">
        <w:rPr>
          <w:b/>
          <w:bCs/>
          <w:color w:val="0070C0"/>
          <w:vertAlign w:val="superscript"/>
        </w:rPr>
        <w:t>[</w:t>
      </w:r>
      <w:r w:rsidR="004354CA">
        <w:rPr>
          <w:b/>
          <w:bCs/>
          <w:color w:val="0070C0"/>
          <w:vertAlign w:val="superscript"/>
        </w:rPr>
        <w:t>15</w:t>
      </w:r>
      <w:r w:rsidR="004354CA" w:rsidRPr="00C37A50">
        <w:rPr>
          <w:b/>
          <w:bCs/>
          <w:color w:val="0070C0"/>
          <w:vertAlign w:val="superscript"/>
        </w:rPr>
        <w:t>]</w:t>
      </w:r>
      <w:r w:rsidR="004354CA" w:rsidRPr="00C37A50">
        <w:rPr>
          <w:b/>
          <w:bCs/>
        </w:rPr>
        <w:t xml:space="preserve"> </w:t>
      </w:r>
      <w:r w:rsidR="004354CA" w:rsidRPr="004354CA">
        <w:rPr>
          <w:b/>
          <w:bCs/>
        </w:rPr>
        <w:t>AVCDL</w:t>
      </w:r>
      <w:r w:rsidR="004354CA">
        <w:t xml:space="preserve"> secondary document, the customer creates a global cybersecurity requirements catalog.</w:t>
      </w:r>
    </w:p>
    <w:p w14:paraId="1AE2E58A" w14:textId="5A04E8DD" w:rsidR="004354CA" w:rsidRDefault="004354CA" w:rsidP="004354CA">
      <w:pPr>
        <w:spacing w:after="240"/>
        <w:ind w:left="720" w:hanging="720"/>
        <w:jc w:val="both"/>
      </w:pPr>
      <w:r w:rsidRPr="0028293D">
        <w:rPr>
          <w:b/>
          <w:bCs/>
          <w:color w:val="0070C0"/>
        </w:rPr>
        <w:t>Note:</w:t>
      </w:r>
      <w:r w:rsidRPr="0028293D">
        <w:rPr>
          <w:b/>
          <w:bCs/>
          <w:color w:val="0070C0"/>
        </w:rPr>
        <w:tab/>
      </w:r>
      <w:r>
        <w:t xml:space="preserve">The AVCDL provides an exemplar of the </w:t>
      </w:r>
      <w:r>
        <w:rPr>
          <w:b/>
          <w:bCs/>
        </w:rPr>
        <w:t>cybersecurity requirements per taxonomy</w:t>
      </w:r>
      <w:r>
        <w:t xml:space="preserve"> document.</w:t>
      </w:r>
    </w:p>
    <w:p w14:paraId="2B342DBF" w14:textId="30D440F5" w:rsidR="002F2D66" w:rsidRDefault="002F2D66" w:rsidP="002F2D66">
      <w:pPr>
        <w:spacing w:after="240"/>
        <w:ind w:left="720" w:hanging="720"/>
        <w:jc w:val="both"/>
      </w:pPr>
      <w:r w:rsidRPr="0028293D">
        <w:rPr>
          <w:b/>
          <w:bCs/>
          <w:color w:val="0070C0"/>
        </w:rPr>
        <w:t>Note:</w:t>
      </w:r>
      <w:r w:rsidRPr="0028293D">
        <w:rPr>
          <w:b/>
          <w:bCs/>
          <w:color w:val="0070C0"/>
        </w:rPr>
        <w:tab/>
      </w:r>
      <w:r w:rsidR="004354CA">
        <w:t xml:space="preserve">This material is included for reference purposes as the creation of the </w:t>
      </w:r>
      <w:r w:rsidR="004354CA" w:rsidRPr="004354CA">
        <w:rPr>
          <w:b/>
          <w:bCs/>
        </w:rPr>
        <w:t>global cybersecurity requirements catalog</w:t>
      </w:r>
      <w:r w:rsidR="004354CA">
        <w:t xml:space="preserve"> is presumed to have been completed prior to engagement with suppliers</w:t>
      </w:r>
      <w:r>
        <w:t>.</w:t>
      </w:r>
    </w:p>
    <w:p w14:paraId="6E6CA1AD" w14:textId="77777777" w:rsidR="002F2D66" w:rsidRDefault="002F2D66">
      <w:pPr>
        <w:rPr>
          <w:sz w:val="32"/>
          <w:szCs w:val="32"/>
        </w:rPr>
      </w:pPr>
      <w:r>
        <w:br w:type="page"/>
      </w:r>
    </w:p>
    <w:p w14:paraId="212AAF61" w14:textId="794BDD10" w:rsidR="00D66F51" w:rsidRDefault="00D66F51" w:rsidP="00DF2EA8">
      <w:pPr>
        <w:pStyle w:val="Heading2"/>
      </w:pPr>
      <w:r>
        <w:lastRenderedPageBreak/>
        <w:t>Tailored Requirements</w:t>
      </w:r>
    </w:p>
    <w:p w14:paraId="7D96EE48" w14:textId="5163DE8A" w:rsidR="00D66F51" w:rsidRDefault="009C784C" w:rsidP="00D66F51">
      <w:pPr>
        <w:spacing w:after="240"/>
        <w:jc w:val="both"/>
      </w:pPr>
      <w:r>
        <w:t xml:space="preserve">The following diagram shows the documents related to the creation of </w:t>
      </w:r>
      <w:r w:rsidR="00AD6BB0">
        <w:t>cybersecurity requirements tailored to the supplier’s element</w:t>
      </w:r>
      <w:r w:rsidR="00D66F51">
        <w:t>.</w:t>
      </w:r>
    </w:p>
    <w:p w14:paraId="22403C64" w14:textId="77777777" w:rsidR="00D66F51" w:rsidRDefault="00D66F51" w:rsidP="00D66F51">
      <w:pPr>
        <w:jc w:val="center"/>
      </w:pPr>
      <w:r>
        <w:rPr>
          <w:noProof/>
        </w:rPr>
        <w:drawing>
          <wp:inline distT="0" distB="0" distL="0" distR="0" wp14:anchorId="3D4A966F" wp14:editId="119EC2B0">
            <wp:extent cx="3139417" cy="5931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39417" cy="5931892"/>
                    </a:xfrm>
                    <a:prstGeom prst="rect">
                      <a:avLst/>
                    </a:prstGeom>
                  </pic:spPr>
                </pic:pic>
              </a:graphicData>
            </a:graphic>
          </wp:inline>
        </w:drawing>
      </w:r>
    </w:p>
    <w:p w14:paraId="1559821A" w14:textId="77777777" w:rsidR="00D66F51" w:rsidRDefault="00D66F51" w:rsidP="00D66F51"/>
    <w:p w14:paraId="785930DB" w14:textId="637DC88E" w:rsidR="00BE44C8" w:rsidRDefault="00BE44C8" w:rsidP="00BE44C8">
      <w:pPr>
        <w:spacing w:after="240"/>
        <w:jc w:val="both"/>
      </w:pPr>
      <w:r>
        <w:t xml:space="preserve">Guided by the </w:t>
      </w:r>
      <w:r w:rsidR="00AD6BB0">
        <w:rPr>
          <w:b/>
          <w:bCs/>
        </w:rPr>
        <w:t>Product-level Security Requirements</w:t>
      </w:r>
      <w:r>
        <w:rPr>
          <w:b/>
          <w:bCs/>
        </w:rPr>
        <w:t xml:space="preserve"> </w:t>
      </w:r>
      <w:r w:rsidRPr="00C37A50">
        <w:rPr>
          <w:b/>
          <w:bCs/>
          <w:color w:val="0070C0"/>
          <w:vertAlign w:val="superscript"/>
        </w:rPr>
        <w:t>[</w:t>
      </w:r>
      <w:r>
        <w:rPr>
          <w:b/>
          <w:bCs/>
          <w:color w:val="0070C0"/>
          <w:vertAlign w:val="superscript"/>
        </w:rPr>
        <w:t>1</w:t>
      </w:r>
      <w:r w:rsidR="00AD6BB0">
        <w:rPr>
          <w:b/>
          <w:bCs/>
          <w:color w:val="0070C0"/>
          <w:vertAlign w:val="superscript"/>
        </w:rPr>
        <w:t>6</w:t>
      </w:r>
      <w:r w:rsidRPr="00C37A50">
        <w:rPr>
          <w:b/>
          <w:bCs/>
          <w:color w:val="0070C0"/>
          <w:vertAlign w:val="superscript"/>
        </w:rPr>
        <w:t>]</w:t>
      </w:r>
      <w:r w:rsidRPr="00C37A50">
        <w:rPr>
          <w:b/>
          <w:bCs/>
        </w:rPr>
        <w:t xml:space="preserve"> </w:t>
      </w:r>
      <w:r w:rsidR="00AD6BB0">
        <w:t xml:space="preserve">and </w:t>
      </w:r>
      <w:r w:rsidR="00AD6BB0">
        <w:rPr>
          <w:b/>
          <w:bCs/>
        </w:rPr>
        <w:t xml:space="preserve">Element Cybersecurity Relevancy </w:t>
      </w:r>
      <w:r w:rsidR="00AD6BB0" w:rsidRPr="00C37A50">
        <w:rPr>
          <w:b/>
          <w:bCs/>
          <w:color w:val="0070C0"/>
          <w:vertAlign w:val="superscript"/>
        </w:rPr>
        <w:t>[</w:t>
      </w:r>
      <w:r w:rsidR="00AD6BB0">
        <w:rPr>
          <w:b/>
          <w:bCs/>
          <w:color w:val="0070C0"/>
          <w:vertAlign w:val="superscript"/>
        </w:rPr>
        <w:t>17</w:t>
      </w:r>
      <w:r w:rsidR="00AD6BB0" w:rsidRPr="00C37A50">
        <w:rPr>
          <w:b/>
          <w:bCs/>
          <w:color w:val="0070C0"/>
          <w:vertAlign w:val="superscript"/>
        </w:rPr>
        <w:t>]</w:t>
      </w:r>
      <w:r w:rsidR="00AD6BB0" w:rsidRPr="00C37A50">
        <w:rPr>
          <w:b/>
          <w:bCs/>
        </w:rPr>
        <w:t xml:space="preserve"> </w:t>
      </w:r>
      <w:r w:rsidRPr="00C37A50">
        <w:rPr>
          <w:b/>
          <w:bCs/>
        </w:rPr>
        <w:t>AVCDL</w:t>
      </w:r>
      <w:r>
        <w:t xml:space="preserve"> </w:t>
      </w:r>
      <w:r w:rsidR="00AD6BB0">
        <w:t>secondary</w:t>
      </w:r>
      <w:r>
        <w:t xml:space="preserve"> document</w:t>
      </w:r>
      <w:r w:rsidR="00AD6BB0">
        <w:t>s</w:t>
      </w:r>
      <w:r>
        <w:t xml:space="preserve">, the </w:t>
      </w:r>
      <w:r w:rsidR="00AD6BB0">
        <w:t>customer</w:t>
      </w:r>
      <w:r>
        <w:t xml:space="preserve"> uses </w:t>
      </w:r>
      <w:r w:rsidR="00AD6BB0">
        <w:t xml:space="preserve">information in </w:t>
      </w:r>
      <w:r>
        <w:t xml:space="preserve">the </w:t>
      </w:r>
      <w:r w:rsidR="00AD6BB0">
        <w:rPr>
          <w:b/>
          <w:bCs/>
        </w:rPr>
        <w:t>supplier self-reported cybersecurity process maturity</w:t>
      </w:r>
      <w:r w:rsidR="00AD6BB0" w:rsidRPr="00AD6BB0">
        <w:t xml:space="preserve">, </w:t>
      </w:r>
      <w:r w:rsidR="00AD6BB0">
        <w:rPr>
          <w:b/>
          <w:bCs/>
        </w:rPr>
        <w:t>supplier cybersecurity disclosure statement</w:t>
      </w:r>
      <w:r w:rsidR="00AD6BB0">
        <w:t xml:space="preserve">, and where applicable </w:t>
      </w:r>
      <w:r w:rsidR="00AD6BB0">
        <w:rPr>
          <w:b/>
          <w:bCs/>
        </w:rPr>
        <w:t>vendor process - AVCDL product mapping</w:t>
      </w:r>
      <w:r>
        <w:t xml:space="preserve"> </w:t>
      </w:r>
      <w:r w:rsidR="00AD6BB0">
        <w:t xml:space="preserve">documents </w:t>
      </w:r>
      <w:r>
        <w:t xml:space="preserve">to </w:t>
      </w:r>
      <w:r w:rsidR="00AD6BB0">
        <w:t xml:space="preserve">tailor a subset of the </w:t>
      </w:r>
      <w:r w:rsidR="00AD6BB0" w:rsidRPr="00AD6BB0">
        <w:rPr>
          <w:b/>
          <w:bCs/>
        </w:rPr>
        <w:t>global cybersecurity requirements catalog</w:t>
      </w:r>
      <w:r w:rsidR="00AD6BB0">
        <w:t xml:space="preserve"> to create a</w:t>
      </w:r>
      <w:r>
        <w:t xml:space="preserve"> </w:t>
      </w:r>
      <w:r w:rsidR="00AD6BB0">
        <w:rPr>
          <w:b/>
          <w:bCs/>
        </w:rPr>
        <w:t>tailored cybersecurity requirements</w:t>
      </w:r>
      <w:r>
        <w:t xml:space="preserve"> document.</w:t>
      </w:r>
    </w:p>
    <w:p w14:paraId="6CB8EEDF" w14:textId="618178F1" w:rsidR="00D66F51" w:rsidRDefault="00D66F51" w:rsidP="00DF2EA8">
      <w:pPr>
        <w:pStyle w:val="Heading2"/>
      </w:pPr>
      <w:r>
        <w:lastRenderedPageBreak/>
        <w:t>Cybersecurity Interface Agreement (CIA)</w:t>
      </w:r>
    </w:p>
    <w:p w14:paraId="0DB0CEEF" w14:textId="285046E6" w:rsidR="00D66F51" w:rsidRDefault="009C784C" w:rsidP="00D66F51">
      <w:pPr>
        <w:spacing w:after="240"/>
        <w:jc w:val="both"/>
      </w:pPr>
      <w:r>
        <w:t>The following diagram shows the documents related to the creation</w:t>
      </w:r>
      <w:r w:rsidR="0083626F">
        <w:t xml:space="preserve"> of</w:t>
      </w:r>
      <w:r>
        <w:t xml:space="preserve"> </w:t>
      </w:r>
      <w:r w:rsidR="001904E7">
        <w:t>the supplier – customer cybersecurity interface agreement</w:t>
      </w:r>
      <w:r w:rsidR="00D926FF">
        <w:t xml:space="preserve"> and related customer summary</w:t>
      </w:r>
      <w:r w:rsidR="00D66F51">
        <w:t>.</w:t>
      </w:r>
    </w:p>
    <w:p w14:paraId="52FF6C48" w14:textId="77777777" w:rsidR="00D66F51" w:rsidRDefault="00D66F51" w:rsidP="00D66F51">
      <w:pPr>
        <w:jc w:val="center"/>
      </w:pPr>
      <w:r>
        <w:rPr>
          <w:noProof/>
        </w:rPr>
        <w:drawing>
          <wp:inline distT="0" distB="0" distL="0" distR="0" wp14:anchorId="14B857C5" wp14:editId="3C16B009">
            <wp:extent cx="5943598" cy="3666981"/>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598" cy="3666981"/>
                    </a:xfrm>
                    <a:prstGeom prst="rect">
                      <a:avLst/>
                    </a:prstGeom>
                  </pic:spPr>
                </pic:pic>
              </a:graphicData>
            </a:graphic>
          </wp:inline>
        </w:drawing>
      </w:r>
    </w:p>
    <w:p w14:paraId="2BE9EE9C" w14:textId="77777777" w:rsidR="00D66F51" w:rsidRDefault="00D66F51" w:rsidP="00D66F51"/>
    <w:p w14:paraId="5A928FC5" w14:textId="326B7CCE" w:rsidR="001904E7" w:rsidRDefault="001904E7" w:rsidP="001904E7">
      <w:pPr>
        <w:spacing w:after="240"/>
        <w:jc w:val="both"/>
      </w:pPr>
      <w:r>
        <w:t>Guided by</w:t>
      </w:r>
      <w:r w:rsidR="00D926FF" w:rsidRPr="00D926FF">
        <w:t xml:space="preserve"> </w:t>
      </w:r>
      <w:r w:rsidR="00D926FF">
        <w:t xml:space="preserve">the </w:t>
      </w:r>
      <w:r w:rsidR="00D926FF">
        <w:rPr>
          <w:b/>
          <w:bCs/>
        </w:rPr>
        <w:t xml:space="preserve">Understanding Cybersecurity Interface Agreements </w:t>
      </w:r>
      <w:r w:rsidR="00D926FF" w:rsidRPr="00C37A50">
        <w:rPr>
          <w:b/>
          <w:bCs/>
          <w:color w:val="0070C0"/>
          <w:vertAlign w:val="superscript"/>
        </w:rPr>
        <w:t>[</w:t>
      </w:r>
      <w:r w:rsidR="00D926FF">
        <w:rPr>
          <w:b/>
          <w:bCs/>
          <w:color w:val="0070C0"/>
          <w:vertAlign w:val="superscript"/>
        </w:rPr>
        <w:t>18</w:t>
      </w:r>
      <w:r w:rsidR="00D926FF" w:rsidRPr="00C37A50">
        <w:rPr>
          <w:b/>
          <w:bCs/>
          <w:color w:val="0070C0"/>
          <w:vertAlign w:val="superscript"/>
        </w:rPr>
        <w:t>]</w:t>
      </w:r>
      <w:r w:rsidR="00D926FF" w:rsidRPr="00C37A50">
        <w:rPr>
          <w:b/>
          <w:bCs/>
        </w:rPr>
        <w:t xml:space="preserve"> AVCDL</w:t>
      </w:r>
      <w:r w:rsidR="00D926FF">
        <w:t xml:space="preserve"> elaboration document, as well as the </w:t>
      </w:r>
      <w:r w:rsidR="00D926FF">
        <w:rPr>
          <w:b/>
          <w:bCs/>
        </w:rPr>
        <w:t xml:space="preserve">Cybersecurity Interface Agreement </w:t>
      </w:r>
      <w:r w:rsidR="00D926FF" w:rsidRPr="00C37A50">
        <w:rPr>
          <w:b/>
          <w:bCs/>
          <w:color w:val="0070C0"/>
          <w:vertAlign w:val="superscript"/>
        </w:rPr>
        <w:t>[</w:t>
      </w:r>
      <w:r w:rsidR="00D926FF">
        <w:rPr>
          <w:b/>
          <w:bCs/>
          <w:color w:val="0070C0"/>
          <w:vertAlign w:val="superscript"/>
        </w:rPr>
        <w:t>19</w:t>
      </w:r>
      <w:r w:rsidR="00D926FF" w:rsidRPr="00C37A50">
        <w:rPr>
          <w:b/>
          <w:bCs/>
          <w:color w:val="0070C0"/>
          <w:vertAlign w:val="superscript"/>
        </w:rPr>
        <w:t>]</w:t>
      </w:r>
      <w:r w:rsidR="00D926FF" w:rsidRPr="00C37A50">
        <w:rPr>
          <w:b/>
          <w:bCs/>
        </w:rPr>
        <w:t xml:space="preserve"> </w:t>
      </w:r>
      <w:r w:rsidR="00D926FF">
        <w:t>and</w:t>
      </w:r>
      <w:r>
        <w:t xml:space="preserve"> </w:t>
      </w:r>
      <w:r w:rsidR="00D926FF">
        <w:rPr>
          <w:b/>
          <w:bCs/>
        </w:rPr>
        <w:t>Incident Response Plan</w:t>
      </w:r>
      <w:r>
        <w:rPr>
          <w:b/>
          <w:bCs/>
        </w:rPr>
        <w:t xml:space="preserve"> </w:t>
      </w:r>
      <w:r w:rsidRPr="00C37A50">
        <w:rPr>
          <w:b/>
          <w:bCs/>
          <w:color w:val="0070C0"/>
          <w:vertAlign w:val="superscript"/>
        </w:rPr>
        <w:t>[</w:t>
      </w:r>
      <w:r w:rsidR="00D926FF">
        <w:rPr>
          <w:b/>
          <w:bCs/>
          <w:color w:val="0070C0"/>
          <w:vertAlign w:val="superscript"/>
        </w:rPr>
        <w:t>20</w:t>
      </w:r>
      <w:r w:rsidRPr="00C37A50">
        <w:rPr>
          <w:b/>
          <w:bCs/>
          <w:color w:val="0070C0"/>
          <w:vertAlign w:val="superscript"/>
        </w:rPr>
        <w:t>]</w:t>
      </w:r>
      <w:r w:rsidRPr="00C37A50">
        <w:rPr>
          <w:b/>
          <w:bCs/>
        </w:rPr>
        <w:t xml:space="preserve"> AVCDL</w:t>
      </w:r>
      <w:r>
        <w:t xml:space="preserve"> secondary document</w:t>
      </w:r>
      <w:r w:rsidR="00D926FF">
        <w:t>s</w:t>
      </w:r>
      <w:r>
        <w:t xml:space="preserve">, the </w:t>
      </w:r>
      <w:r w:rsidR="00D926FF">
        <w:t xml:space="preserve">customer and </w:t>
      </w:r>
      <w:r>
        <w:t xml:space="preserve">supplier use the </w:t>
      </w:r>
      <w:r w:rsidR="00D926FF">
        <w:rPr>
          <w:b/>
          <w:bCs/>
        </w:rPr>
        <w:t>Cybersecurity Interface Agreement</w:t>
      </w:r>
      <w:r w:rsidRPr="00C37A50">
        <w:rPr>
          <w:b/>
          <w:bCs/>
        </w:rPr>
        <w:t xml:space="preserve"> template</w:t>
      </w:r>
      <w:r>
        <w:t xml:space="preserve"> </w:t>
      </w:r>
      <w:r w:rsidRPr="00C37A50">
        <w:rPr>
          <w:b/>
          <w:bCs/>
          <w:color w:val="0070C0"/>
          <w:vertAlign w:val="superscript"/>
        </w:rPr>
        <w:t>[</w:t>
      </w:r>
      <w:r w:rsidR="00D926FF">
        <w:rPr>
          <w:b/>
          <w:bCs/>
          <w:color w:val="0070C0"/>
          <w:vertAlign w:val="superscript"/>
        </w:rPr>
        <w:t>21</w:t>
      </w:r>
      <w:r w:rsidRPr="00C37A50">
        <w:rPr>
          <w:b/>
          <w:bCs/>
          <w:color w:val="0070C0"/>
          <w:vertAlign w:val="superscript"/>
        </w:rPr>
        <w:t>]</w:t>
      </w:r>
      <w:r>
        <w:t xml:space="preserve"> </w:t>
      </w:r>
      <w:r w:rsidR="00B06D34">
        <w:t xml:space="preserve">and </w:t>
      </w:r>
      <w:r w:rsidR="00B06D34" w:rsidRPr="00B06D34">
        <w:rPr>
          <w:b/>
          <w:bCs/>
        </w:rPr>
        <w:t>tailored cybersecurity requirements</w:t>
      </w:r>
      <w:r w:rsidR="00B06D34">
        <w:t xml:space="preserve"> (see previous section) </w:t>
      </w:r>
      <w:r>
        <w:t xml:space="preserve">to create </w:t>
      </w:r>
      <w:r w:rsidR="00D926FF">
        <w:t>a</w:t>
      </w:r>
      <w:r>
        <w:t xml:space="preserve"> </w:t>
      </w:r>
      <w:r w:rsidR="00D926FF">
        <w:rPr>
          <w:b/>
          <w:bCs/>
        </w:rPr>
        <w:t>cybersecurity interface agreement</w:t>
      </w:r>
      <w:r>
        <w:t xml:space="preserve"> document. The blog post</w:t>
      </w:r>
      <w:r w:rsidR="00C814A8">
        <w:t>,</w:t>
      </w:r>
      <w:r>
        <w:t xml:space="preserve"> </w:t>
      </w:r>
      <w:r w:rsidR="00D926FF" w:rsidRPr="00D926FF">
        <w:rPr>
          <w:b/>
          <w:bCs/>
        </w:rPr>
        <w:t>Yours, Mine, and Ours: The AVCDL and Cybersecurity Interface Agreements</w:t>
      </w:r>
      <w:r>
        <w:t xml:space="preserve"> </w:t>
      </w:r>
      <w:r w:rsidRPr="009C784C">
        <w:rPr>
          <w:b/>
          <w:bCs/>
          <w:color w:val="0070C0"/>
          <w:vertAlign w:val="superscript"/>
        </w:rPr>
        <w:t>[</w:t>
      </w:r>
      <w:r w:rsidR="00D926FF">
        <w:rPr>
          <w:b/>
          <w:bCs/>
          <w:color w:val="0070C0"/>
          <w:vertAlign w:val="superscript"/>
        </w:rPr>
        <w:t>22</w:t>
      </w:r>
      <w:r w:rsidRPr="009C784C">
        <w:rPr>
          <w:b/>
          <w:bCs/>
          <w:color w:val="0070C0"/>
          <w:vertAlign w:val="superscript"/>
        </w:rPr>
        <w:t>]</w:t>
      </w:r>
      <w:r>
        <w:t xml:space="preserve"> provides a background for this.</w:t>
      </w:r>
    </w:p>
    <w:p w14:paraId="43A2625E" w14:textId="38406DF4" w:rsidR="001904E7" w:rsidRDefault="001904E7" w:rsidP="001904E7">
      <w:pPr>
        <w:spacing w:after="240"/>
        <w:jc w:val="both"/>
      </w:pPr>
      <w:r>
        <w:t xml:space="preserve">Using the </w:t>
      </w:r>
      <w:r w:rsidR="00D926FF">
        <w:rPr>
          <w:b/>
          <w:bCs/>
        </w:rPr>
        <w:t>Cybersecurity Interface Agreement summary</w:t>
      </w:r>
      <w:r w:rsidRPr="009C784C">
        <w:rPr>
          <w:b/>
          <w:bCs/>
        </w:rPr>
        <w:t xml:space="preserve"> template </w:t>
      </w:r>
      <w:r w:rsidRPr="009C784C">
        <w:rPr>
          <w:b/>
          <w:bCs/>
          <w:color w:val="0070C0"/>
          <w:vertAlign w:val="superscript"/>
        </w:rPr>
        <w:t>[</w:t>
      </w:r>
      <w:r w:rsidR="00D926FF">
        <w:rPr>
          <w:b/>
          <w:bCs/>
          <w:color w:val="0070C0"/>
          <w:vertAlign w:val="superscript"/>
        </w:rPr>
        <w:t>23</w:t>
      </w:r>
      <w:r w:rsidRPr="009C784C">
        <w:rPr>
          <w:b/>
          <w:bCs/>
          <w:color w:val="0070C0"/>
          <w:vertAlign w:val="superscript"/>
        </w:rPr>
        <w:t>]</w:t>
      </w:r>
      <w:r>
        <w:t xml:space="preserve"> the customer creates a </w:t>
      </w:r>
      <w:r w:rsidR="00D926FF">
        <w:rPr>
          <w:b/>
          <w:bCs/>
        </w:rPr>
        <w:t>Cybersecurity Interface Agreement Summary</w:t>
      </w:r>
      <w:r>
        <w:t xml:space="preserve"> document to </w:t>
      </w:r>
      <w:r w:rsidR="00D926FF">
        <w:t xml:space="preserve">capture the </w:t>
      </w:r>
      <w:r w:rsidR="00C814A8">
        <w:t>high-level</w:t>
      </w:r>
      <w:r w:rsidR="00D926FF">
        <w:t xml:space="preserve"> information for consumption by customer project management</w:t>
      </w:r>
      <w:r>
        <w:t>.</w:t>
      </w:r>
    </w:p>
    <w:p w14:paraId="41C33819" w14:textId="77777777" w:rsidR="002F2D66" w:rsidRDefault="002F2D66">
      <w:r>
        <w:br w:type="page"/>
      </w:r>
    </w:p>
    <w:p w14:paraId="0747D3D7" w14:textId="71B314E1" w:rsidR="00D66F51" w:rsidRDefault="00D66F51" w:rsidP="00DF2EA8">
      <w:pPr>
        <w:pStyle w:val="Heading2"/>
      </w:pPr>
      <w:r>
        <w:lastRenderedPageBreak/>
        <w:t>Threat Analysis and Risk Assessment (TARA)</w:t>
      </w:r>
    </w:p>
    <w:p w14:paraId="69968EFC" w14:textId="0ADC0132" w:rsidR="00D66F51" w:rsidRDefault="009C784C" w:rsidP="00D66F51">
      <w:pPr>
        <w:spacing w:after="240"/>
        <w:jc w:val="both"/>
      </w:pPr>
      <w:r>
        <w:t xml:space="preserve">The following diagram shows the documents related to the creation </w:t>
      </w:r>
      <w:r w:rsidR="0083626F">
        <w:t>of the</w:t>
      </w:r>
      <w:r>
        <w:t xml:space="preserve"> supplier </w:t>
      </w:r>
      <w:r w:rsidR="0083626F">
        <w:t>element TARA</w:t>
      </w:r>
      <w:r w:rsidR="00D66F51">
        <w:t>.</w:t>
      </w:r>
    </w:p>
    <w:p w14:paraId="4FF83602" w14:textId="77777777" w:rsidR="00D66F51" w:rsidRDefault="00D66F51" w:rsidP="00D66F51">
      <w:pPr>
        <w:jc w:val="center"/>
      </w:pPr>
      <w:r>
        <w:rPr>
          <w:noProof/>
        </w:rPr>
        <w:drawing>
          <wp:inline distT="0" distB="0" distL="0" distR="0" wp14:anchorId="40338BA2" wp14:editId="1FEEAFE4">
            <wp:extent cx="4111735" cy="4362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118526" cy="4369655"/>
                    </a:xfrm>
                    <a:prstGeom prst="rect">
                      <a:avLst/>
                    </a:prstGeom>
                  </pic:spPr>
                </pic:pic>
              </a:graphicData>
            </a:graphic>
          </wp:inline>
        </w:drawing>
      </w:r>
    </w:p>
    <w:p w14:paraId="003CCA1D" w14:textId="77777777" w:rsidR="00D66F51" w:rsidRDefault="00D66F51" w:rsidP="00D66F51"/>
    <w:p w14:paraId="0C1B0C51" w14:textId="089EECA0" w:rsidR="00D66F51" w:rsidRDefault="005C5E44" w:rsidP="005C5E44">
      <w:pPr>
        <w:jc w:val="both"/>
        <w:rPr>
          <w:sz w:val="40"/>
          <w:szCs w:val="40"/>
        </w:rPr>
      </w:pPr>
      <w:r>
        <w:t>Guided by</w:t>
      </w:r>
      <w:r w:rsidRPr="00D926FF">
        <w:t xml:space="preserve"> </w:t>
      </w:r>
      <w:r>
        <w:t xml:space="preserve">the </w:t>
      </w:r>
      <w:r>
        <w:rPr>
          <w:b/>
          <w:bCs/>
        </w:rPr>
        <w:t xml:space="preserve">Understanding </w:t>
      </w:r>
      <w:r w:rsidR="00EE7418">
        <w:rPr>
          <w:b/>
          <w:bCs/>
        </w:rPr>
        <w:t>TARA in an AVCDL Context</w:t>
      </w:r>
      <w:r>
        <w:rPr>
          <w:b/>
          <w:bCs/>
        </w:rPr>
        <w:t xml:space="preserve"> </w:t>
      </w:r>
      <w:r w:rsidRPr="00C37A50">
        <w:rPr>
          <w:b/>
          <w:bCs/>
          <w:color w:val="0070C0"/>
          <w:vertAlign w:val="superscript"/>
        </w:rPr>
        <w:t>[</w:t>
      </w:r>
      <w:r w:rsidR="00EE7418">
        <w:rPr>
          <w:b/>
          <w:bCs/>
          <w:color w:val="0070C0"/>
          <w:vertAlign w:val="superscript"/>
        </w:rPr>
        <w:t>24</w:t>
      </w:r>
      <w:r w:rsidRPr="00C37A50">
        <w:rPr>
          <w:b/>
          <w:bCs/>
          <w:color w:val="0070C0"/>
          <w:vertAlign w:val="superscript"/>
        </w:rPr>
        <w:t>]</w:t>
      </w:r>
      <w:r w:rsidRPr="00C37A50">
        <w:rPr>
          <w:b/>
          <w:bCs/>
        </w:rPr>
        <w:t xml:space="preserve"> AVCDL</w:t>
      </w:r>
      <w:r>
        <w:t xml:space="preserve"> elaboration document, as well as the </w:t>
      </w:r>
      <w:r w:rsidR="00EE7418">
        <w:rPr>
          <w:b/>
          <w:bCs/>
        </w:rPr>
        <w:t>Threat Modeling Report</w:t>
      </w:r>
      <w:r>
        <w:rPr>
          <w:b/>
          <w:bCs/>
        </w:rPr>
        <w:t xml:space="preserve"> </w:t>
      </w:r>
      <w:r w:rsidRPr="00C37A50">
        <w:rPr>
          <w:b/>
          <w:bCs/>
          <w:color w:val="0070C0"/>
          <w:vertAlign w:val="superscript"/>
        </w:rPr>
        <w:t>[</w:t>
      </w:r>
      <w:r w:rsidR="00EE7418">
        <w:rPr>
          <w:b/>
          <w:bCs/>
          <w:color w:val="0070C0"/>
          <w:vertAlign w:val="superscript"/>
        </w:rPr>
        <w:t>25</w:t>
      </w:r>
      <w:r w:rsidRPr="00C37A50">
        <w:rPr>
          <w:b/>
          <w:bCs/>
          <w:color w:val="0070C0"/>
          <w:vertAlign w:val="superscript"/>
        </w:rPr>
        <w:t>]</w:t>
      </w:r>
      <w:r w:rsidR="00EE7418">
        <w:t>,</w:t>
      </w:r>
      <w:r>
        <w:t xml:space="preserve"> </w:t>
      </w:r>
      <w:r w:rsidR="00EE7418">
        <w:rPr>
          <w:b/>
          <w:bCs/>
        </w:rPr>
        <w:t>Ranked-Risked Threat Report</w:t>
      </w:r>
      <w:r>
        <w:rPr>
          <w:b/>
          <w:bCs/>
        </w:rPr>
        <w:t xml:space="preserve"> </w:t>
      </w:r>
      <w:r w:rsidRPr="00C37A50">
        <w:rPr>
          <w:b/>
          <w:bCs/>
          <w:color w:val="0070C0"/>
          <w:vertAlign w:val="superscript"/>
        </w:rPr>
        <w:t>[</w:t>
      </w:r>
      <w:r>
        <w:rPr>
          <w:b/>
          <w:bCs/>
          <w:color w:val="0070C0"/>
          <w:vertAlign w:val="superscript"/>
        </w:rPr>
        <w:t>2</w:t>
      </w:r>
      <w:r w:rsidR="00EE7418">
        <w:rPr>
          <w:b/>
          <w:bCs/>
          <w:color w:val="0070C0"/>
          <w:vertAlign w:val="superscript"/>
        </w:rPr>
        <w:t>6</w:t>
      </w:r>
      <w:r w:rsidRPr="00C37A50">
        <w:rPr>
          <w:b/>
          <w:bCs/>
          <w:color w:val="0070C0"/>
          <w:vertAlign w:val="superscript"/>
        </w:rPr>
        <w:t>]</w:t>
      </w:r>
      <w:r w:rsidRPr="00C37A50">
        <w:rPr>
          <w:b/>
          <w:bCs/>
        </w:rPr>
        <w:t xml:space="preserve"> </w:t>
      </w:r>
      <w:r w:rsidR="00EE7418">
        <w:t xml:space="preserve">and </w:t>
      </w:r>
      <w:r w:rsidR="00EE7418">
        <w:rPr>
          <w:b/>
          <w:bCs/>
        </w:rPr>
        <w:t xml:space="preserve">Threat Report </w:t>
      </w:r>
      <w:r w:rsidR="00EE7418" w:rsidRPr="00C37A50">
        <w:rPr>
          <w:b/>
          <w:bCs/>
          <w:color w:val="0070C0"/>
          <w:vertAlign w:val="superscript"/>
        </w:rPr>
        <w:t>[</w:t>
      </w:r>
      <w:r w:rsidR="00EE7418">
        <w:rPr>
          <w:b/>
          <w:bCs/>
          <w:color w:val="0070C0"/>
          <w:vertAlign w:val="superscript"/>
        </w:rPr>
        <w:t>27</w:t>
      </w:r>
      <w:r w:rsidR="00EE7418" w:rsidRPr="00C37A50">
        <w:rPr>
          <w:b/>
          <w:bCs/>
          <w:color w:val="0070C0"/>
          <w:vertAlign w:val="superscript"/>
        </w:rPr>
        <w:t>]</w:t>
      </w:r>
      <w:r w:rsidR="00EE7418" w:rsidRPr="00C37A50">
        <w:rPr>
          <w:b/>
          <w:bCs/>
        </w:rPr>
        <w:t xml:space="preserve"> </w:t>
      </w:r>
      <w:r w:rsidRPr="00C37A50">
        <w:rPr>
          <w:b/>
          <w:bCs/>
        </w:rPr>
        <w:t>AVCDL</w:t>
      </w:r>
      <w:r>
        <w:t xml:space="preserve"> secondary documents, the customer and</w:t>
      </w:r>
      <w:r w:rsidR="00EE7418">
        <w:t>/or</w:t>
      </w:r>
      <w:r>
        <w:t xml:space="preserve"> supplier create a </w:t>
      </w:r>
      <w:r w:rsidR="00EE7418">
        <w:rPr>
          <w:b/>
          <w:bCs/>
        </w:rPr>
        <w:t>threat analysis and risk assessment (TARA)</w:t>
      </w:r>
      <w:r>
        <w:t xml:space="preserve"> document</w:t>
      </w:r>
      <w:r w:rsidR="00EE7418">
        <w:t xml:space="preserve">, where the participants are specified in the </w:t>
      </w:r>
      <w:r w:rsidR="00EE7418">
        <w:rPr>
          <w:b/>
          <w:bCs/>
        </w:rPr>
        <w:t>Cybersecurity Interface Agreement</w:t>
      </w:r>
      <w:r>
        <w:t xml:space="preserve">. </w:t>
      </w:r>
      <w:r w:rsidR="00D66F51">
        <w:br w:type="page"/>
      </w:r>
    </w:p>
    <w:p w14:paraId="4133A851" w14:textId="6776B8C1" w:rsidR="00D66F51" w:rsidRDefault="00D66F51" w:rsidP="00DF2EA8">
      <w:pPr>
        <w:pStyle w:val="Heading2"/>
      </w:pPr>
      <w:r>
        <w:lastRenderedPageBreak/>
        <w:t>Service Level Agreement (SLA)</w:t>
      </w:r>
    </w:p>
    <w:p w14:paraId="75CD0F87" w14:textId="02ACB7A4" w:rsidR="00D66F51" w:rsidRDefault="009C784C" w:rsidP="00D66F51">
      <w:pPr>
        <w:spacing w:after="240"/>
        <w:jc w:val="both"/>
      </w:pPr>
      <w:r>
        <w:t xml:space="preserve">The following diagram shows the documents related to the creation </w:t>
      </w:r>
      <w:r w:rsidR="0083626F">
        <w:t xml:space="preserve">of the </w:t>
      </w:r>
      <w:r w:rsidR="00EE7418">
        <w:t>supplier service level agreement</w:t>
      </w:r>
      <w:r w:rsidR="00D66F51">
        <w:t>.</w:t>
      </w:r>
    </w:p>
    <w:p w14:paraId="56D9A1A8" w14:textId="77777777" w:rsidR="00D66F51" w:rsidRDefault="00D66F51" w:rsidP="00D66F51">
      <w:pPr>
        <w:jc w:val="center"/>
      </w:pPr>
      <w:r>
        <w:rPr>
          <w:noProof/>
        </w:rPr>
        <w:drawing>
          <wp:inline distT="0" distB="0" distL="0" distR="0" wp14:anchorId="6EADA2CE" wp14:editId="6C548208">
            <wp:extent cx="2247900" cy="8377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295163" cy="855392"/>
                    </a:xfrm>
                    <a:prstGeom prst="rect">
                      <a:avLst/>
                    </a:prstGeom>
                  </pic:spPr>
                </pic:pic>
              </a:graphicData>
            </a:graphic>
          </wp:inline>
        </w:drawing>
      </w:r>
    </w:p>
    <w:p w14:paraId="761B8E5B" w14:textId="77777777" w:rsidR="00D66F51" w:rsidRDefault="00D66F51" w:rsidP="00D66F51"/>
    <w:p w14:paraId="1A314195" w14:textId="79654ECF" w:rsidR="00D66F51" w:rsidRDefault="00EE7418" w:rsidP="00D66F51">
      <w:pPr>
        <w:spacing w:after="240"/>
        <w:jc w:val="both"/>
      </w:pPr>
      <w:r>
        <w:t>Guided by</w:t>
      </w:r>
      <w:r w:rsidRPr="00D926FF">
        <w:t xml:space="preserve"> </w:t>
      </w:r>
      <w:r>
        <w:t xml:space="preserve">the </w:t>
      </w:r>
      <w:r>
        <w:rPr>
          <w:b/>
          <w:bCs/>
        </w:rPr>
        <w:t>Cybersecurity Interface Agreement</w:t>
      </w:r>
      <w:r>
        <w:t xml:space="preserve">, the customer and supplier create a </w:t>
      </w:r>
      <w:r>
        <w:rPr>
          <w:b/>
          <w:bCs/>
        </w:rPr>
        <w:t>service level agreement (SLA)</w:t>
      </w:r>
      <w:r>
        <w:t xml:space="preserve"> document</w:t>
      </w:r>
      <w:r w:rsidR="00D66F51">
        <w:t>.</w:t>
      </w:r>
    </w:p>
    <w:p w14:paraId="48C9C581" w14:textId="77777777" w:rsidR="00D66F51" w:rsidRDefault="00D66F51">
      <w:pPr>
        <w:rPr>
          <w:sz w:val="40"/>
          <w:szCs w:val="40"/>
        </w:rPr>
      </w:pPr>
      <w:r>
        <w:br w:type="page"/>
      </w:r>
    </w:p>
    <w:p w14:paraId="7FAAB150" w14:textId="45891741" w:rsidR="00D66F51" w:rsidRDefault="00D66F51" w:rsidP="00DF2EA8">
      <w:pPr>
        <w:pStyle w:val="Heading2"/>
      </w:pPr>
      <w:r>
        <w:lastRenderedPageBreak/>
        <w:t>Software Bill of Materials (SBOM)</w:t>
      </w:r>
    </w:p>
    <w:p w14:paraId="526146E4" w14:textId="7A7C77B3" w:rsidR="00D66F51" w:rsidRDefault="009C784C" w:rsidP="00D66F51">
      <w:pPr>
        <w:spacing w:after="240"/>
        <w:jc w:val="both"/>
      </w:pPr>
      <w:r>
        <w:t xml:space="preserve">The following diagram shows the documents related to the creation of </w:t>
      </w:r>
      <w:r w:rsidR="0083626F">
        <w:t xml:space="preserve">the </w:t>
      </w:r>
      <w:r>
        <w:t xml:space="preserve">supplier </w:t>
      </w:r>
      <w:r w:rsidR="0083626F">
        <w:t>element SBOM</w:t>
      </w:r>
      <w:r w:rsidR="00D66F51">
        <w:t>.</w:t>
      </w:r>
    </w:p>
    <w:p w14:paraId="78E98A57" w14:textId="77777777" w:rsidR="00D66F51" w:rsidRDefault="00D66F51" w:rsidP="00D66F51">
      <w:pPr>
        <w:jc w:val="center"/>
      </w:pPr>
      <w:r>
        <w:rPr>
          <w:noProof/>
        </w:rPr>
        <w:drawing>
          <wp:inline distT="0" distB="0" distL="0" distR="0" wp14:anchorId="2D7BD0C2" wp14:editId="3613C621">
            <wp:extent cx="2266950" cy="24475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286033" cy="2468186"/>
                    </a:xfrm>
                    <a:prstGeom prst="rect">
                      <a:avLst/>
                    </a:prstGeom>
                  </pic:spPr>
                </pic:pic>
              </a:graphicData>
            </a:graphic>
          </wp:inline>
        </w:drawing>
      </w:r>
    </w:p>
    <w:p w14:paraId="326D32ED" w14:textId="77777777" w:rsidR="00D66F51" w:rsidRDefault="00D66F51" w:rsidP="00D66F51"/>
    <w:p w14:paraId="224789BD" w14:textId="1408FB5A" w:rsidR="00D66F51" w:rsidRDefault="00EE7418" w:rsidP="00D66F51">
      <w:pPr>
        <w:spacing w:after="240"/>
        <w:jc w:val="both"/>
      </w:pPr>
      <w:r>
        <w:t>Guided by</w:t>
      </w:r>
      <w:r w:rsidRPr="00D926FF">
        <w:t xml:space="preserve"> </w:t>
      </w:r>
      <w:r>
        <w:t xml:space="preserve">the </w:t>
      </w:r>
      <w:r>
        <w:rPr>
          <w:b/>
          <w:bCs/>
        </w:rPr>
        <w:t xml:space="preserve">Software Bill of Materials Lifecycle </w:t>
      </w:r>
      <w:r w:rsidRPr="00C37A50">
        <w:rPr>
          <w:b/>
          <w:bCs/>
          <w:color w:val="0070C0"/>
          <w:vertAlign w:val="superscript"/>
        </w:rPr>
        <w:t>[</w:t>
      </w:r>
      <w:r>
        <w:rPr>
          <w:b/>
          <w:bCs/>
          <w:color w:val="0070C0"/>
          <w:vertAlign w:val="superscript"/>
        </w:rPr>
        <w:t>28</w:t>
      </w:r>
      <w:r w:rsidRPr="00C37A50">
        <w:rPr>
          <w:b/>
          <w:bCs/>
          <w:color w:val="0070C0"/>
          <w:vertAlign w:val="superscript"/>
        </w:rPr>
        <w:t>]</w:t>
      </w:r>
      <w:r w:rsidRPr="00C37A50">
        <w:rPr>
          <w:b/>
          <w:bCs/>
        </w:rPr>
        <w:t xml:space="preserve"> AVCDL</w:t>
      </w:r>
      <w:r>
        <w:t xml:space="preserve"> elaboration document, and as specified in the </w:t>
      </w:r>
      <w:r>
        <w:rPr>
          <w:b/>
          <w:bCs/>
        </w:rPr>
        <w:t>Cybersecurity Interface Agreement</w:t>
      </w:r>
      <w:r>
        <w:t>, the supplier create</w:t>
      </w:r>
      <w:r w:rsidR="0083626F">
        <w:t>s</w:t>
      </w:r>
      <w:r>
        <w:t xml:space="preserve"> a </w:t>
      </w:r>
      <w:r>
        <w:rPr>
          <w:b/>
          <w:bCs/>
        </w:rPr>
        <w:t>cybersecurity bill of materials (SBOM)</w:t>
      </w:r>
      <w:r w:rsidR="00D66F51">
        <w:t>.</w:t>
      </w:r>
    </w:p>
    <w:p w14:paraId="79800A7E" w14:textId="77777777" w:rsidR="00D66F51" w:rsidRDefault="00D66F51">
      <w:pPr>
        <w:rPr>
          <w:sz w:val="40"/>
          <w:szCs w:val="40"/>
        </w:rPr>
      </w:pPr>
      <w:r>
        <w:br w:type="page"/>
      </w:r>
    </w:p>
    <w:p w14:paraId="0000000C" w14:textId="7DBDE827" w:rsidR="00E27AF5" w:rsidRDefault="008C1D59">
      <w:pPr>
        <w:pStyle w:val="Heading1"/>
      </w:pPr>
      <w:r>
        <w:lastRenderedPageBreak/>
        <w:t>References</w:t>
      </w:r>
    </w:p>
    <w:p w14:paraId="1C14929C" w14:textId="4BEE599C" w:rsidR="00901FDC" w:rsidRPr="00361DF6" w:rsidRDefault="00843601" w:rsidP="00901FDC">
      <w:pPr>
        <w:pStyle w:val="ListParagraph"/>
        <w:numPr>
          <w:ilvl w:val="0"/>
          <w:numId w:val="14"/>
        </w:numPr>
        <w:ind w:left="450" w:hanging="450"/>
      </w:pPr>
      <w:bookmarkStart w:id="3" w:name="ref_01"/>
      <w:bookmarkEnd w:id="3"/>
      <w:r>
        <w:rPr>
          <w:b/>
          <w:bCs/>
        </w:rPr>
        <w:t>Autonomous Vehicle Cybersecurity Development Lifecycle</w:t>
      </w:r>
    </w:p>
    <w:p w14:paraId="11F0876C" w14:textId="5B47C286" w:rsidR="00361DF6" w:rsidRPr="00C37A50" w:rsidRDefault="00361DF6" w:rsidP="00901FDC">
      <w:pPr>
        <w:pStyle w:val="ListParagraph"/>
        <w:numPr>
          <w:ilvl w:val="0"/>
          <w:numId w:val="14"/>
        </w:numPr>
        <w:ind w:left="450" w:hanging="450"/>
      </w:pPr>
      <w:r w:rsidRPr="00361DF6">
        <w:rPr>
          <w:b/>
          <w:bCs/>
        </w:rPr>
        <w:t>Turtles All the Way Down: Security at Every Level</w:t>
      </w:r>
      <w:r>
        <w:rPr>
          <w:b/>
          <w:bCs/>
        </w:rPr>
        <w:t xml:space="preserve"> (AVCDL </w:t>
      </w:r>
      <w:r w:rsidRPr="00361DF6">
        <w:t>blog post</w:t>
      </w:r>
      <w:r>
        <w:rPr>
          <w:b/>
          <w:bCs/>
        </w:rPr>
        <w:t>)</w:t>
      </w:r>
    </w:p>
    <w:p w14:paraId="6AFE77A7" w14:textId="67D5EBC1" w:rsidR="00C37A50" w:rsidRDefault="00C37A50" w:rsidP="00901FDC">
      <w:pPr>
        <w:pStyle w:val="ListParagraph"/>
        <w:numPr>
          <w:ilvl w:val="0"/>
          <w:numId w:val="14"/>
        </w:numPr>
        <w:ind w:left="450" w:hanging="450"/>
        <w:rPr>
          <w:rStyle w:val="Hyperlink"/>
          <w:color w:val="auto"/>
          <w:u w:val="none"/>
        </w:rPr>
      </w:pPr>
      <w:r w:rsidRPr="00C37A50">
        <w:rPr>
          <w:rStyle w:val="Hyperlink"/>
          <w:b/>
          <w:bCs/>
          <w:color w:val="auto"/>
          <w:u w:val="none"/>
        </w:rPr>
        <w:t>Supplier Self-reported Cybersecurity Maturity Assessment</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4C232AB" w14:textId="1B9DE00E" w:rsidR="00C37A50" w:rsidRPr="00DF2EA8" w:rsidRDefault="00C37A50" w:rsidP="00901FDC">
      <w:pPr>
        <w:pStyle w:val="ListParagraph"/>
        <w:numPr>
          <w:ilvl w:val="0"/>
          <w:numId w:val="14"/>
        </w:numPr>
        <w:ind w:left="450" w:hanging="450"/>
      </w:pPr>
      <w:r w:rsidRPr="00C37A50">
        <w:rPr>
          <w:b/>
          <w:bCs/>
        </w:rPr>
        <w:t>AVCDL vendor CMM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12A9491D" w14:textId="3E3A307B" w:rsidR="00DF2EA8" w:rsidRDefault="001642C8" w:rsidP="00901FDC">
      <w:pPr>
        <w:pStyle w:val="ListParagraph"/>
        <w:numPr>
          <w:ilvl w:val="0"/>
          <w:numId w:val="14"/>
        </w:numPr>
        <w:ind w:left="450" w:hanging="450"/>
      </w:pPr>
      <w:r>
        <w:rPr>
          <w:b/>
          <w:bCs/>
        </w:rPr>
        <w:t>AVCDL mappings</w:t>
      </w:r>
      <w:r w:rsidR="00DF2EA8" w:rsidRPr="00DF2EA8">
        <w:rPr>
          <w:b/>
          <w:bCs/>
        </w:rPr>
        <w:t xml:space="preserve"> </w:t>
      </w:r>
      <w:r w:rsidR="00DF2EA8" w:rsidRPr="00DF2EA8">
        <w:t>(</w:t>
      </w:r>
      <w:r w:rsidR="00DF2EA8" w:rsidRPr="00DF2EA8">
        <w:rPr>
          <w:b/>
          <w:bCs/>
        </w:rPr>
        <w:t>AVCDL</w:t>
      </w:r>
      <w:r w:rsidR="00DF2EA8">
        <w:t xml:space="preserve"> </w:t>
      </w:r>
      <w:r>
        <w:t>reference</w:t>
      </w:r>
      <w:r w:rsidR="00DF2EA8">
        <w:t xml:space="preserve"> document)</w:t>
      </w:r>
    </w:p>
    <w:p w14:paraId="023A4463" w14:textId="19C4AC40" w:rsidR="009C784C" w:rsidRPr="009C784C" w:rsidRDefault="009C784C" w:rsidP="00901FDC">
      <w:pPr>
        <w:pStyle w:val="ListParagraph"/>
        <w:numPr>
          <w:ilvl w:val="0"/>
          <w:numId w:val="14"/>
        </w:numPr>
        <w:ind w:left="450" w:hanging="450"/>
      </w:pPr>
      <w:r w:rsidRPr="009C784C">
        <w:rPr>
          <w:b/>
          <w:bCs/>
        </w:rPr>
        <w:t>Where are You at? Level Setting Supplier Cybersecurity Maturity</w:t>
      </w:r>
      <w:r>
        <w:rPr>
          <w:b/>
          <w:bCs/>
        </w:rPr>
        <w:t xml:space="preserve"> (AVCDL </w:t>
      </w:r>
      <w:r w:rsidRPr="00361DF6">
        <w:t>blog post</w:t>
      </w:r>
      <w:r>
        <w:rPr>
          <w:b/>
          <w:bCs/>
        </w:rPr>
        <w:t>)</w:t>
      </w:r>
    </w:p>
    <w:p w14:paraId="2910C9CD" w14:textId="2F508748" w:rsidR="009C784C" w:rsidRPr="0028293D" w:rsidRDefault="009C784C" w:rsidP="00901FDC">
      <w:pPr>
        <w:pStyle w:val="ListParagraph"/>
        <w:numPr>
          <w:ilvl w:val="0"/>
          <w:numId w:val="14"/>
        </w:numPr>
        <w:ind w:left="450" w:hanging="450"/>
      </w:pPr>
      <w:r w:rsidRPr="009C784C">
        <w:rPr>
          <w:b/>
          <w:bCs/>
        </w:rPr>
        <w:t xml:space="preserve">AVCDL vendor CMM progress </w:t>
      </w:r>
      <w:r w:rsidRPr="00C37A50">
        <w:rPr>
          <w:b/>
          <w:bCs/>
        </w:rPr>
        <w:t>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F6293A6" w14:textId="5F9D5393" w:rsidR="0028293D" w:rsidRDefault="0028293D" w:rsidP="00901FDC">
      <w:pPr>
        <w:pStyle w:val="ListParagraph"/>
        <w:numPr>
          <w:ilvl w:val="0"/>
          <w:numId w:val="14"/>
        </w:numPr>
        <w:ind w:left="450" w:hanging="450"/>
      </w:pPr>
      <w:r>
        <w:rPr>
          <w:b/>
          <w:bCs/>
        </w:rPr>
        <w:t>Autonomous Vehicle Cybersecurity Manufacturer Disclosure Statement</w:t>
      </w:r>
      <w:r w:rsidRPr="00DF2EA8">
        <w:rPr>
          <w:b/>
          <w:bCs/>
        </w:rPr>
        <w:t xml:space="preserve"> </w:t>
      </w:r>
      <w:r w:rsidRPr="00DF2EA8">
        <w:t>(</w:t>
      </w:r>
      <w:r w:rsidRPr="00DF2EA8">
        <w:rPr>
          <w:b/>
          <w:bCs/>
        </w:rPr>
        <w:t>AVCDL</w:t>
      </w:r>
      <w:r>
        <w:t xml:space="preserve"> secondary document)</w:t>
      </w:r>
    </w:p>
    <w:p w14:paraId="319C064B" w14:textId="7FB06C7D" w:rsidR="0028293D" w:rsidRPr="0028293D" w:rsidRDefault="0028293D" w:rsidP="00901FDC">
      <w:pPr>
        <w:pStyle w:val="ListParagraph"/>
        <w:numPr>
          <w:ilvl w:val="0"/>
          <w:numId w:val="14"/>
        </w:numPr>
        <w:ind w:left="450" w:hanging="450"/>
      </w:pPr>
      <w:r>
        <w:rPr>
          <w:b/>
          <w:bCs/>
        </w:rPr>
        <w:t>AVCMDS worksheet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2E3EECD3" w14:textId="1DCEC525" w:rsidR="0028293D" w:rsidRPr="007B34D2" w:rsidRDefault="0028293D" w:rsidP="00901FDC">
      <w:pPr>
        <w:pStyle w:val="ListParagraph"/>
        <w:numPr>
          <w:ilvl w:val="0"/>
          <w:numId w:val="14"/>
        </w:numPr>
        <w:ind w:left="450" w:hanging="450"/>
      </w:pPr>
      <w:r w:rsidRPr="00EF1F6C">
        <w:rPr>
          <w:b/>
          <w:bCs/>
        </w:rPr>
        <w:t>AVCMDS: Autonomous Vehicle Cybersecurity Manufacturer Disclosure Statement</w:t>
      </w:r>
      <w:r>
        <w:rPr>
          <w:b/>
          <w:bCs/>
        </w:rPr>
        <w:t xml:space="preserve"> (AVCDL </w:t>
      </w:r>
      <w:r w:rsidRPr="00361DF6">
        <w:t>blog post</w:t>
      </w:r>
      <w:r>
        <w:rPr>
          <w:b/>
          <w:bCs/>
        </w:rPr>
        <w:t>)</w:t>
      </w:r>
    </w:p>
    <w:p w14:paraId="206DE86C" w14:textId="6656CEF1" w:rsidR="007B34D2" w:rsidRPr="007B34D2" w:rsidRDefault="007B34D2" w:rsidP="00901FDC">
      <w:pPr>
        <w:pStyle w:val="ListParagraph"/>
        <w:numPr>
          <w:ilvl w:val="0"/>
          <w:numId w:val="14"/>
        </w:numPr>
        <w:ind w:left="450" w:hanging="450"/>
      </w:pPr>
      <w:r>
        <w:rPr>
          <w:b/>
          <w:bCs/>
        </w:rPr>
        <w:t xml:space="preserve">Understanding Supply Chain Process Mapping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2B4DDE8D" w14:textId="40927E98" w:rsidR="007B34D2" w:rsidRPr="00B917F4" w:rsidRDefault="007B34D2" w:rsidP="00901FDC">
      <w:pPr>
        <w:pStyle w:val="ListParagraph"/>
        <w:numPr>
          <w:ilvl w:val="0"/>
          <w:numId w:val="14"/>
        </w:numPr>
        <w:ind w:left="450" w:hanging="450"/>
        <w:rPr>
          <w:rStyle w:val="Hyperlink"/>
          <w:color w:val="auto"/>
          <w:u w:val="none"/>
        </w:rPr>
      </w:pPr>
      <w:r>
        <w:rPr>
          <w:b/>
          <w:bCs/>
        </w:rPr>
        <w:t>vendor process – AVCDL product mapping</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E453793" w14:textId="6BB78622" w:rsidR="007B34D2" w:rsidRPr="007B34D2" w:rsidRDefault="00AD6BB0" w:rsidP="00901FDC">
      <w:pPr>
        <w:pStyle w:val="ListParagraph"/>
        <w:numPr>
          <w:ilvl w:val="0"/>
          <w:numId w:val="14"/>
        </w:numPr>
        <w:ind w:left="450" w:hanging="450"/>
      </w:pPr>
      <w:r>
        <w:rPr>
          <w:b/>
          <w:bCs/>
        </w:rPr>
        <w:t>Security Requirements Taxonomy</w:t>
      </w:r>
      <w:r w:rsidRPr="00DF2EA8">
        <w:rPr>
          <w:b/>
          <w:bCs/>
        </w:rPr>
        <w:t xml:space="preserve"> </w:t>
      </w:r>
      <w:r w:rsidRPr="00DF2EA8">
        <w:t>(</w:t>
      </w:r>
      <w:r w:rsidRPr="00DF2EA8">
        <w:rPr>
          <w:b/>
          <w:bCs/>
        </w:rPr>
        <w:t>AVCDL</w:t>
      </w:r>
      <w:r>
        <w:t xml:space="preserve"> secondary document)</w:t>
      </w:r>
    </w:p>
    <w:p w14:paraId="1A175CF9" w14:textId="470BB1A9" w:rsidR="007B34D2" w:rsidRPr="007B34D2" w:rsidRDefault="00AD6BB0" w:rsidP="00901FDC">
      <w:pPr>
        <w:pStyle w:val="ListParagraph"/>
        <w:numPr>
          <w:ilvl w:val="0"/>
          <w:numId w:val="14"/>
        </w:numPr>
        <w:ind w:left="450" w:hanging="450"/>
      </w:pPr>
      <w:r>
        <w:rPr>
          <w:b/>
          <w:bCs/>
        </w:rPr>
        <w:t xml:space="preserve">cybersecurity requirements per taxonomy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exemplar</w:t>
      </w:r>
      <w:r w:rsidRPr="00B917F4">
        <w:rPr>
          <w:rFonts w:eastAsia="Times New Roman"/>
          <w:b/>
          <w:bCs/>
          <w:lang w:val="en-US"/>
        </w:rPr>
        <w:t>)</w:t>
      </w:r>
    </w:p>
    <w:p w14:paraId="49A36364" w14:textId="30528EE0" w:rsidR="007B34D2" w:rsidRPr="007B34D2" w:rsidRDefault="00AD6BB0" w:rsidP="00901FDC">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6408FFA7" w14:textId="2DCCE6DA" w:rsidR="007B34D2" w:rsidRPr="007B34D2" w:rsidRDefault="00AD6BB0" w:rsidP="00901FDC">
      <w:pPr>
        <w:pStyle w:val="ListParagraph"/>
        <w:numPr>
          <w:ilvl w:val="0"/>
          <w:numId w:val="14"/>
        </w:numPr>
        <w:ind w:left="450" w:hanging="450"/>
      </w:pPr>
      <w:r>
        <w:rPr>
          <w:b/>
          <w:bCs/>
        </w:rPr>
        <w:t>Product-level Security Requirements</w:t>
      </w:r>
      <w:r w:rsidRPr="00DF2EA8">
        <w:rPr>
          <w:b/>
          <w:bCs/>
        </w:rPr>
        <w:t xml:space="preserve"> </w:t>
      </w:r>
      <w:r w:rsidRPr="00DF2EA8">
        <w:t>(</w:t>
      </w:r>
      <w:r w:rsidRPr="00DF2EA8">
        <w:rPr>
          <w:b/>
          <w:bCs/>
        </w:rPr>
        <w:t>AVCDL</w:t>
      </w:r>
      <w:r>
        <w:t xml:space="preserve"> secondary document)</w:t>
      </w:r>
    </w:p>
    <w:p w14:paraId="0BF3B02C" w14:textId="28C11429" w:rsidR="007B34D2" w:rsidRPr="007B34D2" w:rsidRDefault="00AD6BB0" w:rsidP="00901FDC">
      <w:pPr>
        <w:pStyle w:val="ListParagraph"/>
        <w:numPr>
          <w:ilvl w:val="0"/>
          <w:numId w:val="14"/>
        </w:numPr>
        <w:ind w:left="450" w:hanging="450"/>
      </w:pPr>
      <w:r>
        <w:rPr>
          <w:b/>
          <w:bCs/>
        </w:rPr>
        <w:t>Element Cybersecurity Relevancy</w:t>
      </w:r>
      <w:r w:rsidRPr="00DF2EA8">
        <w:rPr>
          <w:b/>
          <w:bCs/>
        </w:rPr>
        <w:t xml:space="preserve"> </w:t>
      </w:r>
      <w:r w:rsidRPr="00DF2EA8">
        <w:t>(</w:t>
      </w:r>
      <w:r w:rsidRPr="00DF2EA8">
        <w:rPr>
          <w:b/>
          <w:bCs/>
        </w:rPr>
        <w:t>AVCDL</w:t>
      </w:r>
      <w:r>
        <w:t xml:space="preserve"> secondary document)</w:t>
      </w:r>
    </w:p>
    <w:p w14:paraId="69A4AE3E" w14:textId="356471EC" w:rsidR="007B34D2" w:rsidRPr="007B34D2" w:rsidRDefault="00D926FF" w:rsidP="00901FDC">
      <w:pPr>
        <w:pStyle w:val="ListParagraph"/>
        <w:numPr>
          <w:ilvl w:val="0"/>
          <w:numId w:val="14"/>
        </w:numPr>
        <w:ind w:left="450" w:hanging="450"/>
      </w:pPr>
      <w:r>
        <w:rPr>
          <w:b/>
          <w:bCs/>
        </w:rPr>
        <w:t>Understanding Cybersecurity Interface Agreements</w:t>
      </w:r>
      <w:r w:rsidR="000B0E28">
        <w:rPr>
          <w:b/>
          <w:bCs/>
        </w:rPr>
        <w:t xml:space="preserve"> </w:t>
      </w:r>
      <w:r w:rsidR="000B0E28" w:rsidRPr="00BF7473">
        <w:rPr>
          <w:rFonts w:eastAsia="Times New Roman"/>
          <w:lang w:val="en-US"/>
        </w:rPr>
        <w:t>(</w:t>
      </w:r>
      <w:r w:rsidR="000B0E28" w:rsidRPr="00BF7473">
        <w:rPr>
          <w:rFonts w:eastAsia="Times New Roman"/>
          <w:b/>
          <w:bCs/>
          <w:lang w:val="en-US"/>
        </w:rPr>
        <w:t>AVCDL</w:t>
      </w:r>
      <w:r w:rsidR="000B0E28" w:rsidRPr="00BF7473">
        <w:rPr>
          <w:rFonts w:eastAsia="Times New Roman"/>
          <w:lang w:val="en-US"/>
        </w:rPr>
        <w:t xml:space="preserve"> </w:t>
      </w:r>
      <w:r w:rsidR="000B0E28">
        <w:rPr>
          <w:rFonts w:eastAsia="Times New Roman"/>
          <w:lang w:val="en-US"/>
        </w:rPr>
        <w:t>elaboration</w:t>
      </w:r>
      <w:r w:rsidR="000B0E28" w:rsidRPr="00BF7473">
        <w:rPr>
          <w:rFonts w:eastAsia="Times New Roman"/>
          <w:lang w:val="en-US"/>
        </w:rPr>
        <w:t xml:space="preserve"> document</w:t>
      </w:r>
      <w:r w:rsidR="000B0E28" w:rsidRPr="00B917F4">
        <w:rPr>
          <w:rFonts w:eastAsia="Times New Roman"/>
          <w:b/>
          <w:bCs/>
          <w:lang w:val="en-US"/>
        </w:rPr>
        <w:t>)</w:t>
      </w:r>
    </w:p>
    <w:p w14:paraId="1981B6EF" w14:textId="43603159" w:rsidR="007B34D2" w:rsidRPr="007B34D2" w:rsidRDefault="00D926FF" w:rsidP="00901FDC">
      <w:pPr>
        <w:pStyle w:val="ListParagraph"/>
        <w:numPr>
          <w:ilvl w:val="0"/>
          <w:numId w:val="14"/>
        </w:numPr>
        <w:ind w:left="450" w:hanging="450"/>
      </w:pPr>
      <w:r>
        <w:rPr>
          <w:b/>
          <w:bCs/>
        </w:rPr>
        <w:t>Cybersecurity Interface Agreement</w:t>
      </w:r>
      <w:r w:rsidR="000B0E28" w:rsidRPr="00DF2EA8">
        <w:rPr>
          <w:b/>
          <w:bCs/>
        </w:rPr>
        <w:t xml:space="preserve"> </w:t>
      </w:r>
      <w:r w:rsidR="000B0E28" w:rsidRPr="00DF2EA8">
        <w:t>(</w:t>
      </w:r>
      <w:r w:rsidR="000B0E28" w:rsidRPr="00DF2EA8">
        <w:rPr>
          <w:b/>
          <w:bCs/>
        </w:rPr>
        <w:t>AVCDL</w:t>
      </w:r>
      <w:r w:rsidR="000B0E28">
        <w:t xml:space="preserve"> secondary document)</w:t>
      </w:r>
    </w:p>
    <w:p w14:paraId="47A8060D" w14:textId="5C51FED1" w:rsidR="007B34D2" w:rsidRPr="007B34D2" w:rsidRDefault="000B0E28" w:rsidP="00901FDC">
      <w:pPr>
        <w:pStyle w:val="ListParagraph"/>
        <w:numPr>
          <w:ilvl w:val="0"/>
          <w:numId w:val="14"/>
        </w:numPr>
        <w:ind w:left="450" w:hanging="450"/>
      </w:pPr>
      <w:r>
        <w:rPr>
          <w:b/>
          <w:bCs/>
        </w:rPr>
        <w:t>Incident Response Plan</w:t>
      </w:r>
      <w:r w:rsidRPr="00DF2EA8">
        <w:rPr>
          <w:b/>
          <w:bCs/>
        </w:rPr>
        <w:t xml:space="preserve"> </w:t>
      </w:r>
      <w:r w:rsidRPr="00DF2EA8">
        <w:t>(</w:t>
      </w:r>
      <w:r w:rsidRPr="00DF2EA8">
        <w:rPr>
          <w:b/>
          <w:bCs/>
        </w:rPr>
        <w:t>AVCDL</w:t>
      </w:r>
      <w:r>
        <w:t xml:space="preserve"> secondary document)</w:t>
      </w:r>
    </w:p>
    <w:p w14:paraId="6DC5D9B8" w14:textId="2FCB9EBA" w:rsidR="007B34D2" w:rsidRPr="007B34D2" w:rsidRDefault="000B0E28" w:rsidP="000B0E28">
      <w:pPr>
        <w:pStyle w:val="ListParagraph"/>
        <w:numPr>
          <w:ilvl w:val="0"/>
          <w:numId w:val="14"/>
        </w:numPr>
        <w:ind w:left="450" w:hanging="450"/>
      </w:pPr>
      <w:r>
        <w:rPr>
          <w:b/>
          <w:bCs/>
        </w:rPr>
        <w:t>Cybersecurity Interface Agreement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6A3F4E2" w14:textId="792D04F0" w:rsidR="000B0E28" w:rsidRPr="000B0E28" w:rsidRDefault="000B0E28" w:rsidP="000B0E28">
      <w:pPr>
        <w:pStyle w:val="ListParagraph"/>
        <w:numPr>
          <w:ilvl w:val="0"/>
          <w:numId w:val="14"/>
        </w:numPr>
        <w:ind w:left="450" w:hanging="450"/>
      </w:pPr>
      <w:r w:rsidRPr="00D926FF">
        <w:rPr>
          <w:b/>
          <w:bCs/>
        </w:rPr>
        <w:t>Yours, Mine, and Ours: The AVCDL and Cybersecurity Interface Agreements</w:t>
      </w:r>
      <w:r>
        <w:rPr>
          <w:b/>
          <w:bCs/>
        </w:rPr>
        <w:t xml:space="preserve"> (AVCDL </w:t>
      </w:r>
      <w:r w:rsidRPr="00361DF6">
        <w:t>blog post</w:t>
      </w:r>
      <w:r>
        <w:rPr>
          <w:b/>
          <w:bCs/>
        </w:rPr>
        <w:t>)</w:t>
      </w:r>
    </w:p>
    <w:p w14:paraId="1346655D" w14:textId="77777777" w:rsidR="000B0E28" w:rsidRPr="00B917F4" w:rsidRDefault="000B0E28" w:rsidP="000B0E28">
      <w:pPr>
        <w:pStyle w:val="ListParagraph"/>
        <w:numPr>
          <w:ilvl w:val="0"/>
          <w:numId w:val="14"/>
        </w:numPr>
        <w:ind w:left="450" w:hanging="450"/>
        <w:rPr>
          <w:rStyle w:val="Hyperlink"/>
          <w:color w:val="auto"/>
          <w:u w:val="none"/>
        </w:rPr>
      </w:pPr>
      <w:r>
        <w:rPr>
          <w:b/>
          <w:bCs/>
        </w:rPr>
        <w:t>Cybersecurity Interface Agreement summary</w:t>
      </w:r>
      <w:r w:rsidRPr="009C784C">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F78C434" w14:textId="0AC35F77" w:rsidR="000B0E28" w:rsidRPr="007B34D2" w:rsidRDefault="00EE7418" w:rsidP="000B0E28">
      <w:pPr>
        <w:pStyle w:val="ListParagraph"/>
        <w:numPr>
          <w:ilvl w:val="0"/>
          <w:numId w:val="14"/>
        </w:numPr>
        <w:ind w:left="450" w:hanging="450"/>
      </w:pPr>
      <w:r>
        <w:rPr>
          <w:b/>
          <w:bCs/>
        </w:rPr>
        <w:t xml:space="preserve">Understanding TARA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ADFC29E" w14:textId="3F776B19" w:rsidR="000B0E28" w:rsidRPr="000B0E28" w:rsidRDefault="00EE7418" w:rsidP="00901FDC">
      <w:pPr>
        <w:pStyle w:val="ListParagraph"/>
        <w:numPr>
          <w:ilvl w:val="0"/>
          <w:numId w:val="14"/>
        </w:numPr>
        <w:ind w:left="450" w:hanging="450"/>
      </w:pPr>
      <w:r>
        <w:rPr>
          <w:b/>
          <w:bCs/>
        </w:rPr>
        <w:t>Threat Modeling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1C098173" w14:textId="7410B187" w:rsidR="000B0E28" w:rsidRPr="000B0E28" w:rsidRDefault="00EE7418" w:rsidP="00901FDC">
      <w:pPr>
        <w:pStyle w:val="ListParagraph"/>
        <w:numPr>
          <w:ilvl w:val="0"/>
          <w:numId w:val="14"/>
        </w:numPr>
        <w:ind w:left="450" w:hanging="450"/>
      </w:pPr>
      <w:r>
        <w:rPr>
          <w:b/>
          <w:bCs/>
        </w:rPr>
        <w:t>Ranked-Risked 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2DDE82E1" w14:textId="5646C56C" w:rsidR="000B0E28" w:rsidRPr="000B0E28" w:rsidRDefault="00EE7418" w:rsidP="00901FDC">
      <w:pPr>
        <w:pStyle w:val="ListParagraph"/>
        <w:numPr>
          <w:ilvl w:val="0"/>
          <w:numId w:val="14"/>
        </w:numPr>
        <w:ind w:left="450" w:hanging="450"/>
      </w:pPr>
      <w:r>
        <w:rPr>
          <w:b/>
          <w:bCs/>
        </w:rPr>
        <w:t>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0B50803D" w14:textId="64CA5B60" w:rsidR="00EE7418" w:rsidRPr="00D90BB5" w:rsidRDefault="00EE7418" w:rsidP="000B0E28">
      <w:pPr>
        <w:pStyle w:val="ListParagraph"/>
        <w:numPr>
          <w:ilvl w:val="0"/>
          <w:numId w:val="14"/>
        </w:numPr>
        <w:ind w:left="450" w:hanging="450"/>
      </w:pPr>
      <w:r>
        <w:rPr>
          <w:b/>
          <w:bCs/>
        </w:rPr>
        <w:t xml:space="preserve">Software Bill of Materials Lifecycle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2205DFF" w14:textId="7DECE211" w:rsidR="00D90BB5" w:rsidRPr="00EE7418" w:rsidRDefault="00D90BB5" w:rsidP="000B0E28">
      <w:pPr>
        <w:pStyle w:val="ListParagraph"/>
        <w:numPr>
          <w:ilvl w:val="0"/>
          <w:numId w:val="14"/>
        </w:numPr>
        <w:ind w:left="450" w:hanging="450"/>
      </w:pPr>
      <w:r>
        <w:rPr>
          <w:b/>
          <w:bCs/>
        </w:rPr>
        <w:t xml:space="preserve">Understanding Service Level Agreements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0000000E" w14:textId="77777777" w:rsidR="00E27AF5" w:rsidRDefault="00E27AF5"/>
    <w:sectPr w:rsidR="00E27AF5" w:rsidSect="00B06D34">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3032" w14:textId="77777777" w:rsidR="00B26E78" w:rsidRDefault="00B26E78" w:rsidP="004834EE">
      <w:pPr>
        <w:spacing w:line="240" w:lineRule="auto"/>
      </w:pPr>
      <w:r>
        <w:separator/>
      </w:r>
    </w:p>
  </w:endnote>
  <w:endnote w:type="continuationSeparator" w:id="0">
    <w:p w14:paraId="1B70B4BB" w14:textId="77777777" w:rsidR="00B26E78" w:rsidRDefault="00B26E78"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092320AF"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6D34">
          <w:rPr>
            <w:rStyle w:val="PageNumber"/>
            <w:noProof/>
          </w:rPr>
          <w:t>3</w: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09709" w14:textId="77777777" w:rsidR="00B26E78" w:rsidRDefault="00B26E78" w:rsidP="004834EE">
      <w:pPr>
        <w:spacing w:line="240" w:lineRule="auto"/>
      </w:pPr>
      <w:r>
        <w:separator/>
      </w:r>
    </w:p>
  </w:footnote>
  <w:footnote w:type="continuationSeparator" w:id="0">
    <w:p w14:paraId="710F984A" w14:textId="77777777" w:rsidR="00B26E78" w:rsidRDefault="00B26E78"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A09B7"/>
    <w:multiLevelType w:val="hybridMultilevel"/>
    <w:tmpl w:val="BD9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4"/>
  </w:num>
  <w:num w:numId="6" w16cid:durableId="345637850">
    <w:abstractNumId w:val="2"/>
  </w:num>
  <w:num w:numId="7" w16cid:durableId="924340923">
    <w:abstractNumId w:val="3"/>
  </w:num>
  <w:num w:numId="8" w16cid:durableId="2026906942">
    <w:abstractNumId w:val="1"/>
  </w:num>
  <w:num w:numId="9" w16cid:durableId="948203677">
    <w:abstractNumId w:val="13"/>
  </w:num>
  <w:num w:numId="10" w16cid:durableId="658264192">
    <w:abstractNumId w:val="8"/>
  </w:num>
  <w:num w:numId="11" w16cid:durableId="218057494">
    <w:abstractNumId w:val="9"/>
  </w:num>
  <w:num w:numId="12" w16cid:durableId="1910729321">
    <w:abstractNumId w:val="12"/>
  </w:num>
  <w:num w:numId="13" w16cid:durableId="1455321145">
    <w:abstractNumId w:val="10"/>
  </w:num>
  <w:num w:numId="14" w16cid:durableId="465440668">
    <w:abstractNumId w:val="5"/>
  </w:num>
  <w:num w:numId="15" w16cid:durableId="854736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42FBE"/>
    <w:rsid w:val="0005191B"/>
    <w:rsid w:val="0006765E"/>
    <w:rsid w:val="00075464"/>
    <w:rsid w:val="000833AA"/>
    <w:rsid w:val="000947AB"/>
    <w:rsid w:val="000A4939"/>
    <w:rsid w:val="000A570B"/>
    <w:rsid w:val="000B0E28"/>
    <w:rsid w:val="000E70FC"/>
    <w:rsid w:val="00102ABC"/>
    <w:rsid w:val="00146A73"/>
    <w:rsid w:val="00152F71"/>
    <w:rsid w:val="001642C8"/>
    <w:rsid w:val="001904E7"/>
    <w:rsid w:val="001F087F"/>
    <w:rsid w:val="00201A73"/>
    <w:rsid w:val="0020560E"/>
    <w:rsid w:val="00221008"/>
    <w:rsid w:val="0023265F"/>
    <w:rsid w:val="002414F2"/>
    <w:rsid w:val="0024196D"/>
    <w:rsid w:val="00243278"/>
    <w:rsid w:val="002456B0"/>
    <w:rsid w:val="0024776E"/>
    <w:rsid w:val="00254928"/>
    <w:rsid w:val="0027025E"/>
    <w:rsid w:val="00271DFD"/>
    <w:rsid w:val="0028293D"/>
    <w:rsid w:val="002D1036"/>
    <w:rsid w:val="002D5B51"/>
    <w:rsid w:val="002E45F8"/>
    <w:rsid w:val="002F2D66"/>
    <w:rsid w:val="00303D95"/>
    <w:rsid w:val="003046BC"/>
    <w:rsid w:val="003050FA"/>
    <w:rsid w:val="00313237"/>
    <w:rsid w:val="00316B56"/>
    <w:rsid w:val="00320D3B"/>
    <w:rsid w:val="00323194"/>
    <w:rsid w:val="00324DE8"/>
    <w:rsid w:val="00340CBF"/>
    <w:rsid w:val="00345BF1"/>
    <w:rsid w:val="00355D32"/>
    <w:rsid w:val="00361DF6"/>
    <w:rsid w:val="0038056D"/>
    <w:rsid w:val="0038329C"/>
    <w:rsid w:val="00396A8D"/>
    <w:rsid w:val="003A42ED"/>
    <w:rsid w:val="003E0EB7"/>
    <w:rsid w:val="003E1867"/>
    <w:rsid w:val="00417AA5"/>
    <w:rsid w:val="00423A9D"/>
    <w:rsid w:val="004354CA"/>
    <w:rsid w:val="00453DD6"/>
    <w:rsid w:val="00456D72"/>
    <w:rsid w:val="00456EE8"/>
    <w:rsid w:val="00462E8E"/>
    <w:rsid w:val="004834EE"/>
    <w:rsid w:val="00483B61"/>
    <w:rsid w:val="00484AFD"/>
    <w:rsid w:val="00486EBD"/>
    <w:rsid w:val="004C0547"/>
    <w:rsid w:val="004C51BA"/>
    <w:rsid w:val="004D3830"/>
    <w:rsid w:val="004E0294"/>
    <w:rsid w:val="004E1900"/>
    <w:rsid w:val="004F5E53"/>
    <w:rsid w:val="00506EB3"/>
    <w:rsid w:val="005375A8"/>
    <w:rsid w:val="00546820"/>
    <w:rsid w:val="00553128"/>
    <w:rsid w:val="00566342"/>
    <w:rsid w:val="005801D5"/>
    <w:rsid w:val="00587D96"/>
    <w:rsid w:val="00587DCA"/>
    <w:rsid w:val="0059421D"/>
    <w:rsid w:val="005C09BE"/>
    <w:rsid w:val="005C5E44"/>
    <w:rsid w:val="005D165D"/>
    <w:rsid w:val="005D1D65"/>
    <w:rsid w:val="005D6AED"/>
    <w:rsid w:val="005E2D1B"/>
    <w:rsid w:val="005E4439"/>
    <w:rsid w:val="00610DE3"/>
    <w:rsid w:val="00622878"/>
    <w:rsid w:val="00640407"/>
    <w:rsid w:val="0064446E"/>
    <w:rsid w:val="006662B5"/>
    <w:rsid w:val="00681245"/>
    <w:rsid w:val="00683629"/>
    <w:rsid w:val="0068614C"/>
    <w:rsid w:val="00692487"/>
    <w:rsid w:val="00693790"/>
    <w:rsid w:val="006A4135"/>
    <w:rsid w:val="006B5232"/>
    <w:rsid w:val="006D7366"/>
    <w:rsid w:val="006E2C4F"/>
    <w:rsid w:val="00702ACE"/>
    <w:rsid w:val="007112A2"/>
    <w:rsid w:val="00713FD1"/>
    <w:rsid w:val="00715F28"/>
    <w:rsid w:val="00720E81"/>
    <w:rsid w:val="007330B0"/>
    <w:rsid w:val="0073429F"/>
    <w:rsid w:val="007368AC"/>
    <w:rsid w:val="00787863"/>
    <w:rsid w:val="00787E7C"/>
    <w:rsid w:val="007A64B2"/>
    <w:rsid w:val="007B1ABB"/>
    <w:rsid w:val="007B34D2"/>
    <w:rsid w:val="007F1FD3"/>
    <w:rsid w:val="007F7194"/>
    <w:rsid w:val="008159EF"/>
    <w:rsid w:val="00826A15"/>
    <w:rsid w:val="00835BEE"/>
    <w:rsid w:val="0083626F"/>
    <w:rsid w:val="00843601"/>
    <w:rsid w:val="008529F0"/>
    <w:rsid w:val="00881EA0"/>
    <w:rsid w:val="0088387F"/>
    <w:rsid w:val="00885117"/>
    <w:rsid w:val="00886A57"/>
    <w:rsid w:val="008C1D59"/>
    <w:rsid w:val="008C530D"/>
    <w:rsid w:val="008E62FA"/>
    <w:rsid w:val="008F002F"/>
    <w:rsid w:val="00900BB4"/>
    <w:rsid w:val="00901FDC"/>
    <w:rsid w:val="00914409"/>
    <w:rsid w:val="00924D8E"/>
    <w:rsid w:val="009313E9"/>
    <w:rsid w:val="00934FB7"/>
    <w:rsid w:val="009404D9"/>
    <w:rsid w:val="0094576C"/>
    <w:rsid w:val="00947C9D"/>
    <w:rsid w:val="00950CBB"/>
    <w:rsid w:val="00951543"/>
    <w:rsid w:val="0096153D"/>
    <w:rsid w:val="009753BC"/>
    <w:rsid w:val="00987C76"/>
    <w:rsid w:val="009B7B46"/>
    <w:rsid w:val="009C0DEC"/>
    <w:rsid w:val="009C784C"/>
    <w:rsid w:val="009D17CB"/>
    <w:rsid w:val="009D3D6B"/>
    <w:rsid w:val="009E3750"/>
    <w:rsid w:val="00A12215"/>
    <w:rsid w:val="00A25950"/>
    <w:rsid w:val="00A400D4"/>
    <w:rsid w:val="00A52E29"/>
    <w:rsid w:val="00A56B19"/>
    <w:rsid w:val="00A6765C"/>
    <w:rsid w:val="00A73E46"/>
    <w:rsid w:val="00A933C4"/>
    <w:rsid w:val="00AC1576"/>
    <w:rsid w:val="00AD6BB0"/>
    <w:rsid w:val="00AF091C"/>
    <w:rsid w:val="00B01C06"/>
    <w:rsid w:val="00B023DF"/>
    <w:rsid w:val="00B03BD9"/>
    <w:rsid w:val="00B06D34"/>
    <w:rsid w:val="00B14B28"/>
    <w:rsid w:val="00B26E78"/>
    <w:rsid w:val="00B326CC"/>
    <w:rsid w:val="00B33D4E"/>
    <w:rsid w:val="00B41D4E"/>
    <w:rsid w:val="00B46F10"/>
    <w:rsid w:val="00B667CA"/>
    <w:rsid w:val="00B745EA"/>
    <w:rsid w:val="00B85158"/>
    <w:rsid w:val="00B93D6D"/>
    <w:rsid w:val="00BA47E1"/>
    <w:rsid w:val="00BC3213"/>
    <w:rsid w:val="00BD2EA3"/>
    <w:rsid w:val="00BE44C8"/>
    <w:rsid w:val="00BF7473"/>
    <w:rsid w:val="00C01829"/>
    <w:rsid w:val="00C0601C"/>
    <w:rsid w:val="00C131EA"/>
    <w:rsid w:val="00C13D3D"/>
    <w:rsid w:val="00C31651"/>
    <w:rsid w:val="00C33483"/>
    <w:rsid w:val="00C37A50"/>
    <w:rsid w:val="00C41386"/>
    <w:rsid w:val="00C47626"/>
    <w:rsid w:val="00C5366D"/>
    <w:rsid w:val="00C5541E"/>
    <w:rsid w:val="00C57C85"/>
    <w:rsid w:val="00C611BE"/>
    <w:rsid w:val="00C814A8"/>
    <w:rsid w:val="00C82E71"/>
    <w:rsid w:val="00CC197F"/>
    <w:rsid w:val="00CD06D9"/>
    <w:rsid w:val="00CD45C6"/>
    <w:rsid w:val="00CE0F64"/>
    <w:rsid w:val="00CE23FB"/>
    <w:rsid w:val="00CE54C6"/>
    <w:rsid w:val="00CE63D3"/>
    <w:rsid w:val="00D0070C"/>
    <w:rsid w:val="00D46690"/>
    <w:rsid w:val="00D50EDA"/>
    <w:rsid w:val="00D53F85"/>
    <w:rsid w:val="00D5762A"/>
    <w:rsid w:val="00D602F9"/>
    <w:rsid w:val="00D66F51"/>
    <w:rsid w:val="00D7289D"/>
    <w:rsid w:val="00D90BB5"/>
    <w:rsid w:val="00D926FF"/>
    <w:rsid w:val="00DB0ECE"/>
    <w:rsid w:val="00DC03C5"/>
    <w:rsid w:val="00DD29BE"/>
    <w:rsid w:val="00DD5E76"/>
    <w:rsid w:val="00DD714C"/>
    <w:rsid w:val="00DD7533"/>
    <w:rsid w:val="00DF1522"/>
    <w:rsid w:val="00DF2EA8"/>
    <w:rsid w:val="00DF2FD8"/>
    <w:rsid w:val="00DF6793"/>
    <w:rsid w:val="00E072F7"/>
    <w:rsid w:val="00E11AC0"/>
    <w:rsid w:val="00E13278"/>
    <w:rsid w:val="00E1499D"/>
    <w:rsid w:val="00E27AF5"/>
    <w:rsid w:val="00E37C60"/>
    <w:rsid w:val="00E55008"/>
    <w:rsid w:val="00E943E5"/>
    <w:rsid w:val="00E9620A"/>
    <w:rsid w:val="00EA5044"/>
    <w:rsid w:val="00EB141B"/>
    <w:rsid w:val="00EE7418"/>
    <w:rsid w:val="00EF1F6C"/>
    <w:rsid w:val="00F002DA"/>
    <w:rsid w:val="00F05716"/>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1758</Words>
  <Characters>10761</Characters>
  <Application>Microsoft Office Word</Application>
  <DocSecurity>0</DocSecurity>
  <Lines>250</Lines>
  <Paragraphs>171</Paragraphs>
  <ScaleCrop>false</ScaleCrop>
  <HeadingPairs>
    <vt:vector size="2" baseType="variant">
      <vt:variant>
        <vt:lpstr>Title</vt:lpstr>
      </vt:variant>
      <vt:variant>
        <vt:i4>1</vt:i4>
      </vt:variant>
    </vt:vector>
  </HeadingPairs>
  <TitlesOfParts>
    <vt:vector size="1" baseType="lpstr">
      <vt:lpstr>Understanding Supply Chain Interaction in an AVCDL Context</vt:lpstr>
    </vt:vector>
  </TitlesOfParts>
  <Manager/>
  <Company>Motional</Company>
  <LinksUpToDate>false</LinksUpToDate>
  <CharactersWithSpaces>12348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Supply Chain Interaction in an AVCDL Context</dc:title>
  <dc:subject>Supplier Cybersecurity Interaction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17</cp:revision>
  <cp:lastPrinted>2023-03-14T14:03:00Z</cp:lastPrinted>
  <dcterms:created xsi:type="dcterms:W3CDTF">2022-12-05T17:48:00Z</dcterms:created>
  <dcterms:modified xsi:type="dcterms:W3CDTF">2023-03-15T17:52:00Z</dcterms:modified>
  <cp:category/>
</cp:coreProperties>
</file>