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E8055" w14:textId="399A63D7" w:rsidR="00CC792C" w:rsidRDefault="003E4F94" w:rsidP="002555F6">
      <w:pPr>
        <w:pStyle w:val="Heading1"/>
        <w:ind w:right="-630"/>
        <w:rPr>
          <w:sz w:val="52"/>
          <w:szCs w:val="52"/>
        </w:rPr>
      </w:pPr>
      <w:r>
        <w:rPr>
          <w:sz w:val="52"/>
          <w:szCs w:val="52"/>
        </w:rPr>
        <w:t>Understanding TARA in an AVCDL Context</w:t>
      </w:r>
    </w:p>
    <w:p w14:paraId="578FE19B" w14:textId="4874E052" w:rsidR="00075464" w:rsidRDefault="00B46F10" w:rsidP="00075464">
      <w:pPr>
        <w:pStyle w:val="Heading1"/>
      </w:pPr>
      <w:r>
        <w:t>Revision</w:t>
      </w:r>
    </w:p>
    <w:p w14:paraId="06ECF040" w14:textId="0FB62EED" w:rsidR="00807590" w:rsidRPr="00807590" w:rsidRDefault="00807590" w:rsidP="00807590">
      <w:r>
        <w:t xml:space="preserve">Version </w:t>
      </w:r>
      <w:r w:rsidR="00032736">
        <w:t>4</w:t>
      </w:r>
    </w:p>
    <w:p w14:paraId="45CEE66D" w14:textId="1C9C8659" w:rsidR="00075464" w:rsidRDefault="00075464" w:rsidP="00075464">
      <w:pPr>
        <w:jc w:val="both"/>
      </w:pPr>
      <w:r>
        <w:fldChar w:fldCharType="begin"/>
      </w:r>
      <w:r>
        <w:instrText xml:space="preserve"> DATE \@ "M/d/yy h:mm am/pm" </w:instrText>
      </w:r>
      <w:r>
        <w:fldChar w:fldCharType="separate"/>
      </w:r>
      <w:r w:rsidR="00B96C1B">
        <w:rPr>
          <w:noProof/>
        </w:rPr>
        <w:t>3/28/22 1:19 PM</w:t>
      </w:r>
      <w:r>
        <w:fldChar w:fldCharType="end"/>
      </w:r>
    </w:p>
    <w:p w14:paraId="58128635" w14:textId="4E2710AF" w:rsidR="008E62FA" w:rsidRDefault="008E62FA" w:rsidP="008E62FA">
      <w:pPr>
        <w:pStyle w:val="Heading1"/>
      </w:pPr>
      <w:r>
        <w:t>Author</w:t>
      </w:r>
    </w:p>
    <w:p w14:paraId="59B38096" w14:textId="278C88F3" w:rsidR="008E62FA" w:rsidRDefault="008E62FA" w:rsidP="008E62FA">
      <w:pPr>
        <w:jc w:val="both"/>
      </w:pPr>
      <w:r>
        <w:t>Charles Wilson</w:t>
      </w:r>
    </w:p>
    <w:p w14:paraId="00000002" w14:textId="77777777" w:rsidR="00E27AF5" w:rsidRDefault="008C1D59">
      <w:pPr>
        <w:pStyle w:val="Heading1"/>
      </w:pPr>
      <w:r>
        <w:t>Abstract</w:t>
      </w:r>
    </w:p>
    <w:p w14:paraId="00000003" w14:textId="3D61039A" w:rsidR="00E27AF5" w:rsidRDefault="008C1D59">
      <w:pPr>
        <w:jc w:val="both"/>
      </w:pPr>
      <w:r>
        <w:t xml:space="preserve">This document describes </w:t>
      </w:r>
      <w:r w:rsidR="00CC792C">
        <w:t>the lifecycle of a</w:t>
      </w:r>
      <w:r w:rsidR="003B1797">
        <w:t xml:space="preserve"> </w:t>
      </w:r>
      <w:r w:rsidR="003E4F94">
        <w:t>threat analysis and risk</w:t>
      </w:r>
      <w:r w:rsidR="00CC792C">
        <w:t xml:space="preserve"> </w:t>
      </w:r>
      <w:r w:rsidR="003E4F94">
        <w:t xml:space="preserve">assessment </w:t>
      </w:r>
      <w:r w:rsidR="003B1797">
        <w:t>(</w:t>
      </w:r>
      <w:r w:rsidR="003E4F94" w:rsidRPr="0048660E">
        <w:rPr>
          <w:b/>
          <w:bCs/>
        </w:rPr>
        <w:t>TARA</w:t>
      </w:r>
      <w:r w:rsidR="003B1797">
        <w:t>)</w:t>
      </w:r>
      <w:r w:rsidR="00CC792C">
        <w:t xml:space="preserve"> within the context of the</w:t>
      </w:r>
      <w:r w:rsidR="00240F3B">
        <w:t xml:space="preserve"> </w:t>
      </w:r>
      <w:r w:rsidR="00240F3B" w:rsidRPr="00851E15">
        <w:rPr>
          <w:b/>
          <w:bCs/>
        </w:rPr>
        <w:t>AVCDL</w:t>
      </w:r>
      <w:r>
        <w:t>.</w:t>
      </w:r>
    </w:p>
    <w:p w14:paraId="05608880" w14:textId="4600A93D" w:rsidR="009A73AC" w:rsidRDefault="009A73AC" w:rsidP="009A73AC">
      <w:pPr>
        <w:pStyle w:val="Heading1"/>
      </w:pPr>
      <w:bookmarkStart w:id="0" w:name="_54bgemmh6zb8" w:colFirst="0" w:colLast="0"/>
      <w:bookmarkStart w:id="1" w:name="_olcs7d4b90ea" w:colFirst="0" w:colLast="0"/>
      <w:bookmarkStart w:id="2" w:name="_f5diy2ktdyyf" w:colFirst="0" w:colLast="0"/>
      <w:bookmarkStart w:id="3" w:name="_ka2wojif16d2" w:colFirst="0" w:colLast="0"/>
      <w:bookmarkEnd w:id="0"/>
      <w:bookmarkEnd w:id="1"/>
      <w:bookmarkEnd w:id="2"/>
      <w:bookmarkEnd w:id="3"/>
      <w:r>
        <w:t>Audience</w:t>
      </w:r>
    </w:p>
    <w:p w14:paraId="63615BE2" w14:textId="2BCC17C5" w:rsidR="009A73AC" w:rsidRDefault="009A73AC" w:rsidP="00470DF3">
      <w:pPr>
        <w:spacing w:after="240"/>
        <w:jc w:val="both"/>
      </w:pPr>
      <w:r>
        <w:t xml:space="preserve">The audience of this document are the cybersecurity development lifecycle practice leads who will be guiding </w:t>
      </w:r>
      <w:r w:rsidRPr="003B1797">
        <w:rPr>
          <w:b/>
          <w:bCs/>
        </w:rPr>
        <w:t>AVCDL</w:t>
      </w:r>
      <w:r>
        <w:t xml:space="preserve"> adoption within their organization.</w:t>
      </w:r>
    </w:p>
    <w:p w14:paraId="02DCA0E3" w14:textId="02940A34" w:rsidR="00DD5A2E" w:rsidRDefault="00DD5A2E" w:rsidP="00DD5A2E">
      <w:pPr>
        <w:ind w:left="720" w:hanging="720"/>
        <w:jc w:val="both"/>
      </w:pPr>
      <w:r w:rsidRPr="009A73AC">
        <w:rPr>
          <w:b/>
          <w:bCs/>
          <w:color w:val="0070C0"/>
        </w:rPr>
        <w:t>Note:</w:t>
      </w:r>
      <w:r>
        <w:tab/>
        <w:t xml:space="preserve">This document </w:t>
      </w:r>
      <w:r w:rsidR="003C7C53">
        <w:t>is not subject to certification body review</w:t>
      </w:r>
      <w:r>
        <w:t>.</w:t>
      </w:r>
    </w:p>
    <w:p w14:paraId="6E7B7A50" w14:textId="77777777" w:rsidR="00807590" w:rsidRDefault="00807590" w:rsidP="00807590">
      <w:pPr>
        <w:pStyle w:val="Heading1"/>
        <w:jc w:val="both"/>
      </w:pPr>
      <w:r>
        <w:t>License</w:t>
      </w:r>
    </w:p>
    <w:p w14:paraId="12103DCF" w14:textId="514D3B2E" w:rsidR="00807590" w:rsidRDefault="00807590" w:rsidP="00807590">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240F3B">
        <w:rPr>
          <w:b/>
          <w:bCs/>
          <w:lang w:val="en-US"/>
        </w:rPr>
        <w:t xml:space="preserve"> BY</w:t>
      </w:r>
      <w:r w:rsidRPr="00144DE6">
        <w:rPr>
          <w:b/>
          <w:bCs/>
          <w:lang w:val="en-US"/>
        </w:rPr>
        <w:t>-SA</w:t>
      </w:r>
      <w:r w:rsidR="00240F3B">
        <w:rPr>
          <w:b/>
          <w:bCs/>
          <w:lang w:val="en-US"/>
        </w:rPr>
        <w:t>-4.0</w:t>
      </w:r>
      <w:r w:rsidRPr="00144DE6">
        <w:rPr>
          <w:b/>
          <w:bCs/>
          <w:lang w:val="en-US"/>
        </w:rPr>
        <w:t>)</w:t>
      </w:r>
      <w:r w:rsidRPr="00144DE6">
        <w:rPr>
          <w:lang w:val="en-US"/>
        </w:rPr>
        <w:t xml:space="preserve"> License</w:t>
      </w:r>
      <w:r w:rsidRPr="00533832">
        <w:t>.</w:t>
      </w:r>
    </w:p>
    <w:p w14:paraId="141FF3A9" w14:textId="77777777" w:rsidR="00807590" w:rsidRDefault="003D1BDB" w:rsidP="00807590">
      <w:pPr>
        <w:pStyle w:val="FirstParagraph"/>
        <w:jc w:val="both"/>
      </w:pPr>
      <w:hyperlink r:id="rId8" w:history="1">
        <w:r w:rsidR="00807590" w:rsidRPr="00FE6B19">
          <w:rPr>
            <w:rStyle w:val="Hyperlink"/>
            <w:rFonts w:ascii="Courier New" w:hAnsi="Courier New" w:cs="Courier New"/>
            <w:b/>
            <w:bCs/>
          </w:rPr>
          <w:t>https://creativecommons.org/licenses/by/4.0/legalcode</w:t>
        </w:r>
      </w:hyperlink>
    </w:p>
    <w:p w14:paraId="174317E8" w14:textId="77777777" w:rsidR="009D17CB" w:rsidRDefault="009D17CB">
      <w:pPr>
        <w:rPr>
          <w:sz w:val="40"/>
          <w:szCs w:val="40"/>
        </w:rPr>
      </w:pPr>
      <w:r>
        <w:br w:type="page"/>
      </w:r>
    </w:p>
    <w:p w14:paraId="2922222F" w14:textId="77777777" w:rsidR="00007B2C" w:rsidRDefault="00007B2C" w:rsidP="00007B2C">
      <w:pPr>
        <w:pStyle w:val="Heading1"/>
      </w:pPr>
      <w:r>
        <w:lastRenderedPageBreak/>
        <w:t>Overview</w:t>
      </w:r>
    </w:p>
    <w:p w14:paraId="2EAD1CB1" w14:textId="30D0940D" w:rsidR="00470DF3" w:rsidRDefault="003B1797" w:rsidP="003B1797">
      <w:pPr>
        <w:spacing w:after="240"/>
        <w:jc w:val="both"/>
      </w:pPr>
      <w:r>
        <w:t xml:space="preserve">The </w:t>
      </w:r>
      <w:r w:rsidR="003E4F94">
        <w:t>TARA</w:t>
      </w:r>
      <w:r>
        <w:t xml:space="preserve"> is an artifact </w:t>
      </w:r>
      <w:r w:rsidR="00813122">
        <w:t xml:space="preserve">described in </w:t>
      </w:r>
      <w:r w:rsidR="00813122" w:rsidRPr="00813122">
        <w:rPr>
          <w:b/>
          <w:bCs/>
        </w:rPr>
        <w:t>ISO 21434</w:t>
      </w:r>
      <w:r w:rsidR="00007B2C">
        <w:t>.</w:t>
      </w:r>
      <w:r w:rsidR="00813122">
        <w:t xml:space="preserve"> It is intended to be the cybersecurity equivalent of a HARA as described in </w:t>
      </w:r>
      <w:r w:rsidR="00813122" w:rsidRPr="00813122">
        <w:rPr>
          <w:b/>
          <w:bCs/>
        </w:rPr>
        <w:t>ISO 26262</w:t>
      </w:r>
      <w:r w:rsidR="00813122">
        <w:t>.</w:t>
      </w:r>
      <w:r>
        <w:t xml:space="preserve"> </w:t>
      </w:r>
      <w:r w:rsidR="00813122">
        <w:t>T</w:t>
      </w:r>
      <w:r>
        <w:t xml:space="preserve">he </w:t>
      </w:r>
      <w:r w:rsidRPr="003B1797">
        <w:rPr>
          <w:b/>
          <w:bCs/>
        </w:rPr>
        <w:t>AVCDL</w:t>
      </w:r>
      <w:r>
        <w:t xml:space="preserve"> </w:t>
      </w:r>
      <w:r w:rsidRPr="00FF40B2">
        <w:rPr>
          <w:b/>
          <w:bCs/>
          <w:color w:val="0070C0"/>
          <w:vertAlign w:val="superscript"/>
        </w:rPr>
        <w:t>[1]</w:t>
      </w:r>
      <w:r>
        <w:t xml:space="preserve"> does not </w:t>
      </w:r>
      <w:r w:rsidR="00813122">
        <w:t>use this terminology as the processes used to create such an artifact include those shared by multiple workflows</w:t>
      </w:r>
      <w:r>
        <w:t>.</w:t>
      </w:r>
      <w:r w:rsidR="00813122">
        <w:t xml:space="preserve"> The </w:t>
      </w:r>
      <w:r w:rsidR="00813122" w:rsidRPr="00813122">
        <w:rPr>
          <w:b/>
          <w:bCs/>
        </w:rPr>
        <w:t>AVCDL</w:t>
      </w:r>
      <w:r w:rsidR="00813122">
        <w:t xml:space="preserve"> does, however, produce artifacts which achieve the same ends as the TARA.</w:t>
      </w:r>
    </w:p>
    <w:p w14:paraId="4D2AF38E" w14:textId="7D253496" w:rsidR="009D17CB" w:rsidRDefault="009D17CB" w:rsidP="00007B2C">
      <w:pPr>
        <w:spacing w:after="240"/>
        <w:jc w:val="both"/>
      </w:pPr>
      <w:r>
        <w:t xml:space="preserve">The </w:t>
      </w:r>
      <w:r w:rsidR="00CD7BE2">
        <w:t xml:space="preserve">following </w:t>
      </w:r>
      <w:r w:rsidR="00007B2C">
        <w:t xml:space="preserve">shows </w:t>
      </w:r>
      <w:r w:rsidR="003B1797">
        <w:t>processes within</w:t>
      </w:r>
      <w:r w:rsidR="00083732">
        <w:t xml:space="preserve"> the </w:t>
      </w:r>
      <w:r w:rsidR="00083732" w:rsidRPr="00083732">
        <w:rPr>
          <w:b/>
          <w:bCs/>
        </w:rPr>
        <w:t>AVCDL</w:t>
      </w:r>
      <w:r w:rsidR="00083732">
        <w:t xml:space="preserve"> </w:t>
      </w:r>
      <w:r w:rsidR="00D20579">
        <w:t>that</w:t>
      </w:r>
      <w:r w:rsidR="00083732">
        <w:t xml:space="preserve"> </w:t>
      </w:r>
      <w:r w:rsidR="00813122">
        <w:t>have relevance within the context of the TARA</w:t>
      </w:r>
      <w:r w:rsidR="00D20579">
        <w:t>.</w:t>
      </w:r>
    </w:p>
    <w:p w14:paraId="61638EEA" w14:textId="027CC90F" w:rsidR="00007B2C" w:rsidRDefault="00007B2C" w:rsidP="00F13E10">
      <w:pPr>
        <w:spacing w:after="240"/>
        <w:jc w:val="center"/>
      </w:pPr>
      <w:r>
        <w:rPr>
          <w:noProof/>
        </w:rPr>
        <w:drawing>
          <wp:inline distT="0" distB="0" distL="0" distR="0" wp14:anchorId="0839F0E3" wp14:editId="3511C947">
            <wp:extent cx="5959461" cy="211949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59461" cy="2119496"/>
                    </a:xfrm>
                    <a:prstGeom prst="rect">
                      <a:avLst/>
                    </a:prstGeom>
                  </pic:spPr>
                </pic:pic>
              </a:graphicData>
            </a:graphic>
          </wp:inline>
        </w:drawing>
      </w:r>
    </w:p>
    <w:p w14:paraId="374EFC6F" w14:textId="5FCCCE3A" w:rsidR="00D20579" w:rsidRDefault="00D20579" w:rsidP="00D20579">
      <w:pPr>
        <w:spacing w:after="240"/>
        <w:jc w:val="both"/>
      </w:pPr>
      <w:r>
        <w:t xml:space="preserve">Here the various </w:t>
      </w:r>
      <w:r w:rsidRPr="00D20579">
        <w:rPr>
          <w:b/>
          <w:bCs/>
        </w:rPr>
        <w:t>AVCDL</w:t>
      </w:r>
      <w:r>
        <w:t xml:space="preserve"> processes have be connected into a single workflow diagram. This allows us to appreciate the scope of the </w:t>
      </w:r>
      <w:r w:rsidR="002B6F2D">
        <w:t xml:space="preserve">TARA across the </w:t>
      </w:r>
      <w:r w:rsidR="002B6F2D" w:rsidRPr="002B6F2D">
        <w:rPr>
          <w:b/>
          <w:bCs/>
        </w:rPr>
        <w:t>AVCDL</w:t>
      </w:r>
      <w:r>
        <w:t>.</w:t>
      </w:r>
    </w:p>
    <w:p w14:paraId="0F40E01F" w14:textId="6115C035" w:rsidR="003B1797" w:rsidRDefault="003B1797" w:rsidP="003B1797">
      <w:pPr>
        <w:spacing w:after="240"/>
        <w:ind w:left="720" w:hanging="720"/>
        <w:jc w:val="both"/>
      </w:pPr>
      <w:r w:rsidRPr="00E228B5">
        <w:rPr>
          <w:b/>
          <w:bCs/>
          <w:color w:val="0070C0"/>
        </w:rPr>
        <w:t>Note:</w:t>
      </w:r>
      <w:r>
        <w:tab/>
      </w:r>
      <w:r w:rsidR="002B6F2D">
        <w:t>Callouts</w:t>
      </w:r>
      <w:r>
        <w:t xml:space="preserve"> in red </w:t>
      </w:r>
      <w:r w:rsidR="002B6F2D">
        <w:t xml:space="preserve">show mapping of </w:t>
      </w:r>
      <w:r w:rsidR="002B6F2D" w:rsidRPr="002B6F2D">
        <w:rPr>
          <w:b/>
          <w:bCs/>
        </w:rPr>
        <w:t>ISO 21434</w:t>
      </w:r>
      <w:r w:rsidR="002B6F2D">
        <w:t xml:space="preserve"> TARA terminology to </w:t>
      </w:r>
      <w:r w:rsidR="002B6F2D" w:rsidRPr="002B6F2D">
        <w:rPr>
          <w:b/>
          <w:bCs/>
        </w:rPr>
        <w:t>AVCDL</w:t>
      </w:r>
      <w:r w:rsidR="002B6F2D">
        <w:t xml:space="preserve"> activities</w:t>
      </w:r>
      <w:r>
        <w:t>.</w:t>
      </w:r>
    </w:p>
    <w:p w14:paraId="5C121F90" w14:textId="77777777" w:rsidR="003B1797" w:rsidRPr="003B1797" w:rsidRDefault="003B1797" w:rsidP="003B1797">
      <w:pPr>
        <w:spacing w:after="240"/>
        <w:ind w:left="720" w:hanging="720"/>
        <w:jc w:val="both"/>
      </w:pPr>
      <w:r>
        <w:rPr>
          <w:b/>
          <w:bCs/>
          <w:color w:val="0070C0"/>
        </w:rPr>
        <w:t>Note:</w:t>
      </w:r>
      <w:r>
        <w:tab/>
        <w:t xml:space="preserve">It is recommended that if the reader wishes to view or work with this diagram that they refer to the source of this document in the </w:t>
      </w:r>
      <w:r w:rsidRPr="003B1797">
        <w:rPr>
          <w:b/>
          <w:bCs/>
        </w:rPr>
        <w:t>AVCDL</w:t>
      </w:r>
      <w:r>
        <w:t xml:space="preserve"> GitHub repository.</w:t>
      </w:r>
    </w:p>
    <w:p w14:paraId="6010D1A4" w14:textId="536AE9CA" w:rsidR="00F01CB8" w:rsidRDefault="00EF7A65" w:rsidP="00F01CB8">
      <w:pPr>
        <w:spacing w:after="240"/>
        <w:jc w:val="both"/>
      </w:pPr>
      <w:r>
        <w:t>Absent are</w:t>
      </w:r>
      <w:r w:rsidR="00F01CB8">
        <w:t xml:space="preserve"> </w:t>
      </w:r>
      <w:r>
        <w:t>several</w:t>
      </w:r>
      <w:r w:rsidR="00F01CB8">
        <w:t xml:space="preserve"> </w:t>
      </w:r>
      <w:r w:rsidR="00F01CB8" w:rsidRPr="00D20579">
        <w:rPr>
          <w:b/>
          <w:bCs/>
        </w:rPr>
        <w:t>AVCDL</w:t>
      </w:r>
      <w:r w:rsidR="00F01CB8">
        <w:t xml:space="preserve"> processes </w:t>
      </w:r>
      <w:r>
        <w:t xml:space="preserve">which are precursors to the product-level </w:t>
      </w:r>
      <w:r w:rsidR="003E03AD">
        <w:t xml:space="preserve">security </w:t>
      </w:r>
      <w:r>
        <w:t>requirements</w:t>
      </w:r>
      <w:r w:rsidR="003E03AD">
        <w:t xml:space="preserve"> </w:t>
      </w:r>
      <w:r w:rsidR="003E03AD" w:rsidRPr="003E03AD">
        <w:rPr>
          <w:b/>
          <w:bCs/>
          <w:color w:val="0070C0"/>
          <w:vertAlign w:val="superscript"/>
        </w:rPr>
        <w:t>[2]</w:t>
      </w:r>
      <w:r>
        <w:t xml:space="preserve"> creation</w:t>
      </w:r>
      <w:r w:rsidR="003E03AD">
        <w:t xml:space="preserve"> (shown above)</w:t>
      </w:r>
      <w:r w:rsidR="00F01CB8">
        <w:t>.</w:t>
      </w:r>
      <w:r>
        <w:t xml:space="preserve"> It is not the intent of this document to address the formal issues of traceability as those are sufficiently covered in the </w:t>
      </w:r>
      <w:r w:rsidRPr="00EF7A65">
        <w:rPr>
          <w:b/>
          <w:bCs/>
        </w:rPr>
        <w:t>AVCDL</w:t>
      </w:r>
      <w:r>
        <w:t xml:space="preserve"> primary document itself (both in the main body and with the traceability diagrams which follow the main text).</w:t>
      </w:r>
    </w:p>
    <w:p w14:paraId="77A38C82" w14:textId="2F63F5DF" w:rsidR="00EF7A65" w:rsidRDefault="00EF7A65" w:rsidP="00F01CB8">
      <w:pPr>
        <w:spacing w:after="240"/>
        <w:jc w:val="both"/>
      </w:pPr>
      <w:r>
        <w:t xml:space="preserve">Briefly stated, the </w:t>
      </w:r>
      <w:r w:rsidR="002113C3" w:rsidRPr="002113C3">
        <w:rPr>
          <w:b/>
          <w:bCs/>
        </w:rPr>
        <w:t>G</w:t>
      </w:r>
      <w:r w:rsidRPr="002113C3">
        <w:rPr>
          <w:b/>
          <w:bCs/>
        </w:rPr>
        <w:t xml:space="preserve">lobal </w:t>
      </w:r>
      <w:r w:rsidR="002113C3" w:rsidRPr="002113C3">
        <w:rPr>
          <w:b/>
          <w:bCs/>
        </w:rPr>
        <w:t>S</w:t>
      </w:r>
      <w:r w:rsidRPr="002113C3">
        <w:rPr>
          <w:b/>
          <w:bCs/>
        </w:rPr>
        <w:t xml:space="preserve">ecurity </w:t>
      </w:r>
      <w:r w:rsidR="002113C3" w:rsidRPr="002113C3">
        <w:rPr>
          <w:b/>
          <w:bCs/>
        </w:rPr>
        <w:t>G</w:t>
      </w:r>
      <w:r w:rsidRPr="002113C3">
        <w:rPr>
          <w:b/>
          <w:bCs/>
        </w:rPr>
        <w:t>oals</w:t>
      </w:r>
      <w:r>
        <w:t xml:space="preserve"> </w:t>
      </w:r>
      <w:r w:rsidRPr="00EF7A65">
        <w:rPr>
          <w:b/>
          <w:bCs/>
          <w:color w:val="0070C0"/>
          <w:vertAlign w:val="superscript"/>
        </w:rPr>
        <w:t>[8]</w:t>
      </w:r>
      <w:r w:rsidRPr="00EF7A65">
        <w:rPr>
          <w:color w:val="0070C0"/>
        </w:rPr>
        <w:t xml:space="preserve"> </w:t>
      </w:r>
      <w:r>
        <w:t xml:space="preserve">established based on the organizations cybersecurity policy are used to derive </w:t>
      </w:r>
      <w:r w:rsidR="002113C3" w:rsidRPr="002113C3">
        <w:rPr>
          <w:b/>
          <w:bCs/>
        </w:rPr>
        <w:t>P</w:t>
      </w:r>
      <w:r w:rsidRPr="002113C3">
        <w:rPr>
          <w:b/>
          <w:bCs/>
        </w:rPr>
        <w:t xml:space="preserve">roduct-level </w:t>
      </w:r>
      <w:r w:rsidR="002113C3" w:rsidRPr="002113C3">
        <w:rPr>
          <w:b/>
          <w:bCs/>
        </w:rPr>
        <w:t>S</w:t>
      </w:r>
      <w:r w:rsidRPr="002113C3">
        <w:rPr>
          <w:b/>
          <w:bCs/>
        </w:rPr>
        <w:t xml:space="preserve">ecurity </w:t>
      </w:r>
      <w:r w:rsidR="002113C3" w:rsidRPr="002113C3">
        <w:rPr>
          <w:b/>
          <w:bCs/>
        </w:rPr>
        <w:t>G</w:t>
      </w:r>
      <w:r w:rsidRPr="002113C3">
        <w:rPr>
          <w:b/>
          <w:bCs/>
        </w:rPr>
        <w:t>oals</w:t>
      </w:r>
      <w:r>
        <w:t xml:space="preserve"> </w:t>
      </w:r>
      <w:r w:rsidRPr="00EF7A65">
        <w:rPr>
          <w:b/>
          <w:bCs/>
          <w:color w:val="0070C0"/>
          <w:vertAlign w:val="superscript"/>
        </w:rPr>
        <w:t>[9]</w:t>
      </w:r>
      <w:r>
        <w:t xml:space="preserve">. </w:t>
      </w:r>
      <w:r w:rsidRPr="002113C3">
        <w:rPr>
          <w:b/>
          <w:bCs/>
        </w:rPr>
        <w:t xml:space="preserve">Global </w:t>
      </w:r>
      <w:r w:rsidR="002113C3" w:rsidRPr="002113C3">
        <w:rPr>
          <w:b/>
          <w:bCs/>
        </w:rPr>
        <w:t>S</w:t>
      </w:r>
      <w:r w:rsidRPr="002113C3">
        <w:rPr>
          <w:b/>
          <w:bCs/>
        </w:rPr>
        <w:t xml:space="preserve">ecurity </w:t>
      </w:r>
      <w:r w:rsidR="002113C3" w:rsidRPr="002113C3">
        <w:rPr>
          <w:b/>
          <w:bCs/>
        </w:rPr>
        <w:t>R</w:t>
      </w:r>
      <w:r w:rsidRPr="002113C3">
        <w:rPr>
          <w:b/>
          <w:bCs/>
        </w:rPr>
        <w:t>equirements</w:t>
      </w:r>
      <w:r>
        <w:t xml:space="preserve"> </w:t>
      </w:r>
      <w:r w:rsidRPr="00EF7A65">
        <w:rPr>
          <w:b/>
          <w:bCs/>
          <w:color w:val="0070C0"/>
          <w:vertAlign w:val="superscript"/>
        </w:rPr>
        <w:t>[10]</w:t>
      </w:r>
      <w:r>
        <w:t xml:space="preserve"> also based on the </w:t>
      </w:r>
      <w:r w:rsidR="002113C3" w:rsidRPr="002113C3">
        <w:rPr>
          <w:b/>
          <w:bCs/>
        </w:rPr>
        <w:t>G</w:t>
      </w:r>
      <w:r w:rsidRPr="002113C3">
        <w:rPr>
          <w:b/>
          <w:bCs/>
        </w:rPr>
        <w:t xml:space="preserve">lobal </w:t>
      </w:r>
      <w:r w:rsidR="002113C3" w:rsidRPr="002113C3">
        <w:rPr>
          <w:b/>
          <w:bCs/>
        </w:rPr>
        <w:t>S</w:t>
      </w:r>
      <w:r w:rsidRPr="002113C3">
        <w:rPr>
          <w:b/>
          <w:bCs/>
        </w:rPr>
        <w:t xml:space="preserve">ecurity </w:t>
      </w:r>
      <w:r w:rsidR="002113C3" w:rsidRPr="002113C3">
        <w:rPr>
          <w:b/>
          <w:bCs/>
        </w:rPr>
        <w:t>G</w:t>
      </w:r>
      <w:r w:rsidRPr="002113C3">
        <w:rPr>
          <w:b/>
          <w:bCs/>
        </w:rPr>
        <w:t>oals</w:t>
      </w:r>
      <w:r>
        <w:t xml:space="preserve"> and constructed based on the </w:t>
      </w:r>
      <w:r w:rsidR="002113C3" w:rsidRPr="002113C3">
        <w:rPr>
          <w:b/>
          <w:bCs/>
        </w:rPr>
        <w:t>S</w:t>
      </w:r>
      <w:r w:rsidRPr="002113C3">
        <w:rPr>
          <w:b/>
          <w:bCs/>
        </w:rPr>
        <w:t xml:space="preserve">ecurity </w:t>
      </w:r>
      <w:r w:rsidR="002113C3" w:rsidRPr="002113C3">
        <w:rPr>
          <w:b/>
          <w:bCs/>
        </w:rPr>
        <w:t>R</w:t>
      </w:r>
      <w:r w:rsidRPr="002113C3">
        <w:rPr>
          <w:b/>
          <w:bCs/>
        </w:rPr>
        <w:t>equirement</w:t>
      </w:r>
      <w:r w:rsidR="002113C3" w:rsidRPr="002113C3">
        <w:rPr>
          <w:b/>
          <w:bCs/>
        </w:rPr>
        <w:t>s</w:t>
      </w:r>
      <w:r w:rsidRPr="002113C3">
        <w:rPr>
          <w:b/>
          <w:bCs/>
        </w:rPr>
        <w:t xml:space="preserve"> </w:t>
      </w:r>
      <w:r w:rsidR="002113C3" w:rsidRPr="002113C3">
        <w:rPr>
          <w:b/>
          <w:bCs/>
        </w:rPr>
        <w:t>T</w:t>
      </w:r>
      <w:r w:rsidRPr="002113C3">
        <w:rPr>
          <w:b/>
          <w:bCs/>
        </w:rPr>
        <w:t>axonomy</w:t>
      </w:r>
      <w:r>
        <w:t xml:space="preserve"> </w:t>
      </w:r>
      <w:r w:rsidRPr="00EF7A65">
        <w:rPr>
          <w:b/>
          <w:bCs/>
          <w:color w:val="0070C0"/>
          <w:vertAlign w:val="superscript"/>
        </w:rPr>
        <w:t>[11]</w:t>
      </w:r>
      <w:r>
        <w:t xml:space="preserve"> are used to derive</w:t>
      </w:r>
      <w:r w:rsidR="002113C3">
        <w:t xml:space="preserve"> the</w:t>
      </w:r>
      <w:r>
        <w:t xml:space="preserve"> </w:t>
      </w:r>
      <w:r w:rsidR="002113C3" w:rsidRPr="002113C3">
        <w:rPr>
          <w:b/>
          <w:bCs/>
        </w:rPr>
        <w:t>P</w:t>
      </w:r>
      <w:r w:rsidRPr="002113C3">
        <w:rPr>
          <w:b/>
          <w:bCs/>
        </w:rPr>
        <w:t xml:space="preserve">roduct-level </w:t>
      </w:r>
      <w:r w:rsidR="002113C3" w:rsidRPr="002113C3">
        <w:rPr>
          <w:b/>
          <w:bCs/>
        </w:rPr>
        <w:t>S</w:t>
      </w:r>
      <w:r w:rsidRPr="002113C3">
        <w:rPr>
          <w:b/>
          <w:bCs/>
        </w:rPr>
        <w:t xml:space="preserve">ecurity </w:t>
      </w:r>
      <w:r w:rsidR="002113C3" w:rsidRPr="002113C3">
        <w:rPr>
          <w:b/>
          <w:bCs/>
        </w:rPr>
        <w:t>R</w:t>
      </w:r>
      <w:r w:rsidRPr="002113C3">
        <w:rPr>
          <w:b/>
          <w:bCs/>
        </w:rPr>
        <w:t>equirements</w:t>
      </w:r>
      <w:r>
        <w:t xml:space="preserve">. It is presumed, within this document, that these derivations are </w:t>
      </w:r>
      <w:r w:rsidR="003E03AD">
        <w:t>strictly derived</w:t>
      </w:r>
      <w:r>
        <w:t xml:space="preserve"> and therefore do not require explicit discussion as </w:t>
      </w:r>
      <w:r w:rsidR="003E03AD">
        <w:t>to their</w:t>
      </w:r>
      <w:r>
        <w:t xml:space="preserve"> foundational fulfillment. </w:t>
      </w:r>
    </w:p>
    <w:p w14:paraId="6F02DADE" w14:textId="77777777" w:rsidR="00206788" w:rsidRDefault="00206788">
      <w:r>
        <w:br w:type="page"/>
      </w:r>
    </w:p>
    <w:p w14:paraId="43FE3276" w14:textId="6A3749E8" w:rsidR="00206788" w:rsidRDefault="00206788" w:rsidP="00206788">
      <w:pPr>
        <w:pStyle w:val="Heading1"/>
      </w:pPr>
      <w:r>
        <w:lastRenderedPageBreak/>
        <w:t xml:space="preserve">Simplified </w:t>
      </w:r>
      <w:r w:rsidR="002B6F2D">
        <w:t>Process</w:t>
      </w:r>
      <w:r>
        <w:t xml:space="preserve"> Interactions Visualized</w:t>
      </w:r>
    </w:p>
    <w:p w14:paraId="7F3071FC" w14:textId="1834FA8E" w:rsidR="00206788" w:rsidRDefault="003C37B0" w:rsidP="00206788">
      <w:pPr>
        <w:spacing w:after="240"/>
        <w:jc w:val="both"/>
      </w:pPr>
      <w:r>
        <w:t>Y</w:t>
      </w:r>
      <w:r w:rsidR="00206788">
        <w:t>ou can</w:t>
      </w:r>
      <w:r>
        <w:t>’t</w:t>
      </w:r>
      <w:r w:rsidR="00206788">
        <w:t xml:space="preserve"> really gather much from the above diagram. Let’s </w:t>
      </w:r>
      <w:r>
        <w:t xml:space="preserve">first </w:t>
      </w:r>
      <w:r w:rsidR="00206788">
        <w:t>look at just the major process interactions.</w:t>
      </w:r>
    </w:p>
    <w:p w14:paraId="064B65E1" w14:textId="77777777" w:rsidR="003C37B0" w:rsidRDefault="00206788" w:rsidP="00F13E10">
      <w:pPr>
        <w:spacing w:after="240"/>
        <w:jc w:val="center"/>
      </w:pPr>
      <w:r>
        <w:rPr>
          <w:noProof/>
        </w:rPr>
        <w:drawing>
          <wp:inline distT="0" distB="0" distL="0" distR="0" wp14:anchorId="19C0CFF9" wp14:editId="3BA8FC37">
            <wp:extent cx="5984050" cy="7955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84050" cy="795516"/>
                    </a:xfrm>
                    <a:prstGeom prst="rect">
                      <a:avLst/>
                    </a:prstGeom>
                  </pic:spPr>
                </pic:pic>
              </a:graphicData>
            </a:graphic>
          </wp:inline>
        </w:drawing>
      </w:r>
    </w:p>
    <w:p w14:paraId="3D945974" w14:textId="0E7F17EB" w:rsidR="006507F3" w:rsidRDefault="003C37B0" w:rsidP="004F43AA">
      <w:pPr>
        <w:spacing w:after="240"/>
        <w:jc w:val="both"/>
      </w:pPr>
      <w:r>
        <w:t xml:space="preserve">There are </w:t>
      </w:r>
      <w:r w:rsidR="002B6F2D">
        <w:t>four</w:t>
      </w:r>
      <w:r>
        <w:t xml:space="preserve"> processes that </w:t>
      </w:r>
      <w:r w:rsidR="002B6F2D">
        <w:t>provide</w:t>
      </w:r>
      <w:r>
        <w:t xml:space="preserve"> information typically embodied in an </w:t>
      </w:r>
      <w:r w:rsidR="002B6F2D" w:rsidRPr="002B6F2D">
        <w:rPr>
          <w:b/>
          <w:bCs/>
        </w:rPr>
        <w:t>ISO 21434</w:t>
      </w:r>
      <w:r w:rsidR="002B6F2D">
        <w:t xml:space="preserve"> TARA</w:t>
      </w:r>
      <w:r>
        <w:t>.</w:t>
      </w:r>
      <w:r w:rsidR="006507F3">
        <w:t xml:space="preserve"> Each of the above blocks represents the </w:t>
      </w:r>
      <w:r w:rsidR="006507F3" w:rsidRPr="00D729F4">
        <w:rPr>
          <w:b/>
          <w:bCs/>
        </w:rPr>
        <w:t>AVCDL</w:t>
      </w:r>
      <w:r w:rsidR="006507F3">
        <w:t xml:space="preserve"> secondary document by the same name. It is important to observe that the flow of information is not entirely in one direction. During</w:t>
      </w:r>
      <w:r w:rsidR="00A84993">
        <w:t xml:space="preserve"> both</w:t>
      </w:r>
      <w:r w:rsidR="006507F3">
        <w:t xml:space="preserve"> the </w:t>
      </w:r>
      <w:r w:rsidR="00A84993">
        <w:t xml:space="preserve">design review </w:t>
      </w:r>
      <w:r w:rsidR="006507F3" w:rsidRPr="006507F3">
        <w:rPr>
          <w:color w:val="0070C0"/>
          <w:vertAlign w:val="superscript"/>
        </w:rPr>
        <w:t>[</w:t>
      </w:r>
      <w:r w:rsidR="00A84993">
        <w:rPr>
          <w:color w:val="0070C0"/>
          <w:vertAlign w:val="superscript"/>
        </w:rPr>
        <w:t>3</w:t>
      </w:r>
      <w:r w:rsidR="006507F3" w:rsidRPr="006507F3">
        <w:rPr>
          <w:color w:val="0070C0"/>
          <w:vertAlign w:val="superscript"/>
        </w:rPr>
        <w:t>]</w:t>
      </w:r>
      <w:r w:rsidR="00A84993">
        <w:t xml:space="preserve"> and threat prioritization </w:t>
      </w:r>
      <w:r w:rsidR="00A84993" w:rsidRPr="00A84993">
        <w:rPr>
          <w:b/>
          <w:bCs/>
          <w:color w:val="0070C0"/>
          <w:vertAlign w:val="superscript"/>
        </w:rPr>
        <w:t>[</w:t>
      </w:r>
      <w:r w:rsidR="00A84993">
        <w:rPr>
          <w:b/>
          <w:bCs/>
          <w:color w:val="0070C0"/>
          <w:vertAlign w:val="superscript"/>
        </w:rPr>
        <w:t>5</w:t>
      </w:r>
      <w:r w:rsidR="00A84993" w:rsidRPr="00A84993">
        <w:rPr>
          <w:b/>
          <w:bCs/>
          <w:color w:val="0070C0"/>
          <w:vertAlign w:val="superscript"/>
        </w:rPr>
        <w:t>]</w:t>
      </w:r>
      <w:r w:rsidR="00A84993">
        <w:t xml:space="preserve"> processes,</w:t>
      </w:r>
      <w:r w:rsidR="006507F3">
        <w:t xml:space="preserve"> additional information is fed back into the </w:t>
      </w:r>
      <w:r w:rsidR="00A84993">
        <w:t>preceding</w:t>
      </w:r>
      <w:r w:rsidR="006507F3">
        <w:t xml:space="preserve"> process.</w:t>
      </w:r>
    </w:p>
    <w:p w14:paraId="3CC54E2A" w14:textId="205E8504" w:rsidR="00A84993" w:rsidRDefault="00A84993" w:rsidP="00A84993">
      <w:pPr>
        <w:spacing w:after="240"/>
        <w:ind w:left="720" w:hanging="720"/>
        <w:jc w:val="both"/>
      </w:pPr>
      <w:r w:rsidRPr="00A84993">
        <w:rPr>
          <w:b/>
          <w:bCs/>
          <w:color w:val="0070C0"/>
        </w:rPr>
        <w:t>Note:</w:t>
      </w:r>
      <w:r w:rsidRPr="00A84993">
        <w:rPr>
          <w:b/>
          <w:bCs/>
          <w:color w:val="0070C0"/>
        </w:rPr>
        <w:tab/>
      </w:r>
      <w:r>
        <w:t>Since the feedback shown above feeds back into review processes, it is assumed that these reviews are undertaken again should such feedback occur.</w:t>
      </w:r>
    </w:p>
    <w:p w14:paraId="6EC82FD3" w14:textId="3B6DD48D" w:rsidR="006507F3" w:rsidRDefault="006507F3" w:rsidP="006507F3">
      <w:pPr>
        <w:pStyle w:val="Heading1"/>
      </w:pPr>
      <w:r>
        <w:t xml:space="preserve">Information </w:t>
      </w:r>
      <w:r w:rsidR="003E03AD">
        <w:t>Management</w:t>
      </w:r>
    </w:p>
    <w:p w14:paraId="58C8EDFE" w14:textId="5A2BC128" w:rsidR="004F43AA" w:rsidRDefault="007B76A8" w:rsidP="004F43AA">
      <w:pPr>
        <w:spacing w:after="240"/>
        <w:jc w:val="both"/>
      </w:pPr>
      <w:r>
        <w:t xml:space="preserve">The information used in the creation of the numerous artifacts within the various processes listed above necessitates the use of </w:t>
      </w:r>
      <w:r w:rsidR="000947F6">
        <w:t xml:space="preserve">a </w:t>
      </w:r>
      <w:r>
        <w:t>diversity of storage mechanisms and embodiments</w:t>
      </w:r>
      <w:r w:rsidR="006507F3">
        <w:t>.</w:t>
      </w:r>
      <w:r>
        <w:t xml:space="preserve"> Description and exploration of these is outside the scope of this document. It is, however, presumed that both machine and human-readable format and embodiments will be necessary </w:t>
      </w:r>
      <w:r w:rsidR="000672FA">
        <w:t>to</w:t>
      </w:r>
      <w:r>
        <w:t xml:space="preserve"> fulfill both developmental and regulatory needs.</w:t>
      </w:r>
    </w:p>
    <w:p w14:paraId="6A596AA8" w14:textId="5E1EA5BB" w:rsidR="00083732" w:rsidRPr="00206788" w:rsidRDefault="00083732" w:rsidP="004F43AA">
      <w:pPr>
        <w:spacing w:after="240"/>
        <w:jc w:val="both"/>
      </w:pPr>
      <w:r>
        <w:br w:type="page"/>
      </w:r>
    </w:p>
    <w:p w14:paraId="040DC7C2" w14:textId="215B5289" w:rsidR="00221008" w:rsidRDefault="00F13E10" w:rsidP="00221008">
      <w:pPr>
        <w:pStyle w:val="Heading1"/>
      </w:pPr>
      <w:r>
        <w:lastRenderedPageBreak/>
        <w:t>AVCDL Process</w:t>
      </w:r>
      <w:r w:rsidR="000672FA" w:rsidRPr="000672FA">
        <w:t xml:space="preserve"> </w:t>
      </w:r>
      <w:r w:rsidR="000672FA">
        <w:t>Interaction</w:t>
      </w:r>
    </w:p>
    <w:p w14:paraId="6BEE597A" w14:textId="7968147C" w:rsidR="006265EC" w:rsidRDefault="00F13E10" w:rsidP="006265EC">
      <w:pPr>
        <w:spacing w:after="240"/>
        <w:jc w:val="both"/>
      </w:pPr>
      <w:r>
        <w:t xml:space="preserve">In this section, we’ll look at the interactions from each of the </w:t>
      </w:r>
      <w:r w:rsidR="000672FA">
        <w:t>four</w:t>
      </w:r>
      <w:r>
        <w:t xml:space="preserve"> </w:t>
      </w:r>
      <w:r w:rsidRPr="00A72917">
        <w:rPr>
          <w:b/>
          <w:bCs/>
        </w:rPr>
        <w:t>AVCDL</w:t>
      </w:r>
      <w:r>
        <w:t xml:space="preserve"> process</w:t>
      </w:r>
      <w:r w:rsidR="00D729F4">
        <w:t>es</w:t>
      </w:r>
      <w:r w:rsidR="00A72917">
        <w:t xml:space="preserve"> </w:t>
      </w:r>
      <w:r>
        <w:t xml:space="preserve">impacting the </w:t>
      </w:r>
      <w:r w:rsidR="000672FA" w:rsidRPr="000672FA">
        <w:rPr>
          <w:b/>
          <w:bCs/>
        </w:rPr>
        <w:t>ISO 21434</w:t>
      </w:r>
      <w:r w:rsidR="000672FA">
        <w:t xml:space="preserve"> TARA</w:t>
      </w:r>
      <w:r w:rsidR="006265EC">
        <w:t>.</w:t>
      </w:r>
      <w:r w:rsidR="00A72917">
        <w:t xml:space="preserve"> </w:t>
      </w:r>
    </w:p>
    <w:p w14:paraId="558A0A5F" w14:textId="3E519F7D" w:rsidR="00192E6C" w:rsidRDefault="00192E6C" w:rsidP="00192E6C">
      <w:pPr>
        <w:spacing w:after="240"/>
        <w:ind w:left="720" w:hanging="720"/>
        <w:jc w:val="both"/>
      </w:pPr>
      <w:r w:rsidRPr="00192E6C">
        <w:rPr>
          <w:b/>
          <w:bCs/>
          <w:color w:val="0070C0"/>
        </w:rPr>
        <w:t>Note:</w:t>
      </w:r>
      <w:r w:rsidRPr="00192E6C">
        <w:rPr>
          <w:b/>
          <w:bCs/>
          <w:color w:val="0070C0"/>
        </w:rPr>
        <w:tab/>
      </w:r>
      <w:r w:rsidR="00A72917">
        <w:t xml:space="preserve">This is not a reiteration of the material within these processes, but rather an elaboration on their </w:t>
      </w:r>
      <w:r w:rsidR="000672FA">
        <w:t>TARA</w:t>
      </w:r>
      <w:r w:rsidR="00A72917">
        <w:t>-relevant aspects</w:t>
      </w:r>
      <w:r>
        <w:t>.</w:t>
      </w:r>
    </w:p>
    <w:p w14:paraId="5AACB5F4" w14:textId="77777777" w:rsidR="006265EC" w:rsidRDefault="006265EC">
      <w:pPr>
        <w:rPr>
          <w:sz w:val="32"/>
          <w:szCs w:val="32"/>
        </w:rPr>
      </w:pPr>
      <w:r>
        <w:br w:type="page"/>
      </w:r>
    </w:p>
    <w:p w14:paraId="6B780AEA" w14:textId="37886C9F" w:rsidR="00B023DF" w:rsidRDefault="000672FA" w:rsidP="00B667CA">
      <w:pPr>
        <w:pStyle w:val="Heading2"/>
      </w:pPr>
      <w:r>
        <w:lastRenderedPageBreak/>
        <w:t>Product-level Security Requirements</w:t>
      </w:r>
      <w:r w:rsidR="00605CEA">
        <w:t xml:space="preserve"> </w:t>
      </w:r>
      <w:r w:rsidR="00605CEA" w:rsidRPr="00605CEA">
        <w:rPr>
          <w:b/>
          <w:bCs/>
          <w:color w:val="0070C0"/>
          <w:vertAlign w:val="superscript"/>
        </w:rPr>
        <w:t>[</w:t>
      </w:r>
      <w:r>
        <w:rPr>
          <w:b/>
          <w:bCs/>
          <w:color w:val="0070C0"/>
          <w:vertAlign w:val="superscript"/>
        </w:rPr>
        <w:t>2</w:t>
      </w:r>
      <w:r w:rsidR="00605CEA" w:rsidRPr="00605CEA">
        <w:rPr>
          <w:b/>
          <w:bCs/>
          <w:color w:val="0070C0"/>
          <w:vertAlign w:val="superscript"/>
        </w:rPr>
        <w:t>]</w:t>
      </w:r>
    </w:p>
    <w:p w14:paraId="7BAA6A67" w14:textId="31346F5D" w:rsidR="0082660E" w:rsidRDefault="006A11C9" w:rsidP="005547AF">
      <w:pPr>
        <w:spacing w:after="240"/>
        <w:jc w:val="both"/>
      </w:pPr>
      <w:r>
        <w:t xml:space="preserve">The </w:t>
      </w:r>
      <w:r w:rsidR="00DA3E37">
        <w:t xml:space="preserve">first process impacting the TARA is that of </w:t>
      </w:r>
      <w:r w:rsidR="00DA3E37" w:rsidRPr="002113C3">
        <w:rPr>
          <w:b/>
          <w:bCs/>
        </w:rPr>
        <w:t>Product-level Security Requirements</w:t>
      </w:r>
      <w:r>
        <w:t>.</w:t>
      </w:r>
      <w:r w:rsidR="00DA3E37">
        <w:t xml:space="preserve"> </w:t>
      </w:r>
      <w:r w:rsidR="002113C3">
        <w:t xml:space="preserve">This process creates a </w:t>
      </w:r>
      <w:r w:rsidR="002113C3" w:rsidRPr="002113C3">
        <w:rPr>
          <w:b/>
          <w:bCs/>
        </w:rPr>
        <w:t>product-level security requirements catalog</w:t>
      </w:r>
      <w:r w:rsidR="002113C3">
        <w:t xml:space="preserve"> from the </w:t>
      </w:r>
      <w:r w:rsidR="002113C3" w:rsidRPr="002113C3">
        <w:rPr>
          <w:b/>
          <w:bCs/>
        </w:rPr>
        <w:t>global security requirements catalog</w:t>
      </w:r>
      <w:r w:rsidR="002113C3">
        <w:t xml:space="preserve"> based on the </w:t>
      </w:r>
      <w:r w:rsidR="002113C3" w:rsidRPr="002113C3">
        <w:rPr>
          <w:b/>
          <w:bCs/>
        </w:rPr>
        <w:t>element functional requirements</w:t>
      </w:r>
      <w:r w:rsidR="002113C3">
        <w:t>.</w:t>
      </w:r>
    </w:p>
    <w:p w14:paraId="4677D142" w14:textId="2E19DFC5" w:rsidR="005547AF" w:rsidRDefault="005547AF" w:rsidP="00F13E10">
      <w:pPr>
        <w:spacing w:after="240"/>
        <w:jc w:val="center"/>
      </w:pPr>
      <w:r>
        <w:rPr>
          <w:noProof/>
        </w:rPr>
        <w:drawing>
          <wp:inline distT="0" distB="0" distL="0" distR="0" wp14:anchorId="31AA45EF" wp14:editId="74B91B05">
            <wp:extent cx="5942629" cy="3647872"/>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6026829" cy="3699558"/>
                    </a:xfrm>
                    <a:prstGeom prst="rect">
                      <a:avLst/>
                    </a:prstGeom>
                  </pic:spPr>
                </pic:pic>
              </a:graphicData>
            </a:graphic>
          </wp:inline>
        </w:drawing>
      </w:r>
    </w:p>
    <w:p w14:paraId="603D70EB" w14:textId="56B5855B" w:rsidR="00737DA4" w:rsidRPr="002113C3" w:rsidRDefault="008062F6" w:rsidP="002113C3">
      <w:pPr>
        <w:spacing w:after="240"/>
        <w:jc w:val="both"/>
      </w:pPr>
      <w:r>
        <w:t>As mentioned in the overview, this process is based on and bound to addition</w:t>
      </w:r>
      <w:r w:rsidR="000947F6">
        <w:t>al</w:t>
      </w:r>
      <w:r>
        <w:t xml:space="preserve"> work (called out in that section)</w:t>
      </w:r>
      <w:r w:rsidR="008F7552">
        <w:t>.</w:t>
      </w:r>
      <w:r w:rsidR="00737DA4">
        <w:br w:type="page"/>
      </w:r>
    </w:p>
    <w:p w14:paraId="59C9787D" w14:textId="3F2FBE73" w:rsidR="00F13E10" w:rsidRDefault="00BC080B" w:rsidP="00F13E10">
      <w:pPr>
        <w:pStyle w:val="Heading2"/>
      </w:pPr>
      <w:r>
        <w:lastRenderedPageBreak/>
        <w:t>Design Showing Security Considerations</w:t>
      </w:r>
      <w:r w:rsidR="00605CEA">
        <w:t xml:space="preserve"> </w:t>
      </w:r>
      <w:r w:rsidR="00605CEA" w:rsidRPr="00605CEA">
        <w:rPr>
          <w:b/>
          <w:bCs/>
          <w:color w:val="0070C0"/>
          <w:vertAlign w:val="superscript"/>
        </w:rPr>
        <w:t>[</w:t>
      </w:r>
      <w:r>
        <w:rPr>
          <w:b/>
          <w:bCs/>
          <w:color w:val="0070C0"/>
          <w:vertAlign w:val="superscript"/>
        </w:rPr>
        <w:t>3</w:t>
      </w:r>
      <w:r w:rsidR="00605CEA" w:rsidRPr="00605CEA">
        <w:rPr>
          <w:b/>
          <w:bCs/>
          <w:color w:val="0070C0"/>
          <w:vertAlign w:val="superscript"/>
        </w:rPr>
        <w:t>]</w:t>
      </w:r>
    </w:p>
    <w:p w14:paraId="21204467" w14:textId="44727736" w:rsidR="00F13E10" w:rsidRDefault="00F13E10" w:rsidP="00F13E10">
      <w:pPr>
        <w:spacing w:after="240"/>
        <w:jc w:val="both"/>
      </w:pPr>
      <w:r>
        <w:t xml:space="preserve">The </w:t>
      </w:r>
      <w:r w:rsidR="008062F6">
        <w:rPr>
          <w:b/>
          <w:bCs/>
        </w:rPr>
        <w:t>Design Showing Security Consideration</w:t>
      </w:r>
      <w:r w:rsidR="003C33A8">
        <w:t xml:space="preserve"> process is responsible for </w:t>
      </w:r>
      <w:r w:rsidR="008062F6">
        <w:t>review of the product element’s design and binding of the appropriate product-level security requirements to the element’s functional requirements</w:t>
      </w:r>
      <w:r>
        <w:t>.</w:t>
      </w:r>
    </w:p>
    <w:p w14:paraId="6DECF9F5" w14:textId="77777777" w:rsidR="00F13E10" w:rsidRPr="005547AF" w:rsidRDefault="00F13E10" w:rsidP="00F13E10">
      <w:pPr>
        <w:spacing w:after="240"/>
        <w:jc w:val="center"/>
      </w:pPr>
      <w:r>
        <w:rPr>
          <w:noProof/>
        </w:rPr>
        <w:drawing>
          <wp:inline distT="0" distB="0" distL="0" distR="0" wp14:anchorId="6604ECA7" wp14:editId="7A1FC847">
            <wp:extent cx="5962736" cy="33078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62736" cy="3307847"/>
                    </a:xfrm>
                    <a:prstGeom prst="rect">
                      <a:avLst/>
                    </a:prstGeom>
                  </pic:spPr>
                </pic:pic>
              </a:graphicData>
            </a:graphic>
          </wp:inline>
        </w:drawing>
      </w:r>
    </w:p>
    <w:p w14:paraId="23FD968B" w14:textId="08A7E966" w:rsidR="003C33A8" w:rsidRDefault="008062F6" w:rsidP="003C33A8">
      <w:pPr>
        <w:spacing w:after="240"/>
        <w:jc w:val="both"/>
      </w:pPr>
      <w:r>
        <w:t xml:space="preserve">The </w:t>
      </w:r>
      <w:r w:rsidRPr="008062F6">
        <w:rPr>
          <w:b/>
          <w:bCs/>
        </w:rPr>
        <w:t>updated development requirements</w:t>
      </w:r>
      <w:r>
        <w:t xml:space="preserve"> artifact will be used in the threat modeling process</w:t>
      </w:r>
      <w:r w:rsidR="0020480C">
        <w:t>.</w:t>
      </w:r>
    </w:p>
    <w:p w14:paraId="25A003A1" w14:textId="77777777" w:rsidR="00F13E10" w:rsidRDefault="00F13E10">
      <w:pPr>
        <w:rPr>
          <w:sz w:val="32"/>
          <w:szCs w:val="32"/>
        </w:rPr>
      </w:pPr>
      <w:r>
        <w:br w:type="page"/>
      </w:r>
    </w:p>
    <w:p w14:paraId="70AEC75A" w14:textId="51603741" w:rsidR="0082660E" w:rsidRDefault="00BC080B" w:rsidP="008E0343">
      <w:pPr>
        <w:pStyle w:val="Heading2"/>
        <w:ind w:right="-810"/>
      </w:pPr>
      <w:r>
        <w:lastRenderedPageBreak/>
        <w:t>Threat Modeling Report</w:t>
      </w:r>
      <w:r w:rsidR="008E0343">
        <w:t xml:space="preserve"> </w:t>
      </w:r>
      <w:r w:rsidR="008E0343" w:rsidRPr="008E0343">
        <w:rPr>
          <w:b/>
          <w:bCs/>
          <w:color w:val="0070C0"/>
          <w:vertAlign w:val="superscript"/>
        </w:rPr>
        <w:t>[</w:t>
      </w:r>
      <w:r w:rsidR="008E0343">
        <w:rPr>
          <w:b/>
          <w:bCs/>
          <w:color w:val="0070C0"/>
          <w:vertAlign w:val="superscript"/>
        </w:rPr>
        <w:t>4</w:t>
      </w:r>
      <w:r w:rsidR="008E0343" w:rsidRPr="008E0343">
        <w:rPr>
          <w:b/>
          <w:bCs/>
          <w:color w:val="0070C0"/>
          <w:vertAlign w:val="superscript"/>
        </w:rPr>
        <w:t>]</w:t>
      </w:r>
    </w:p>
    <w:p w14:paraId="6E614365" w14:textId="0CC9C728" w:rsidR="005547AF" w:rsidRDefault="0020480C" w:rsidP="002D2FF8">
      <w:pPr>
        <w:spacing w:after="240"/>
        <w:jc w:val="both"/>
      </w:pPr>
      <w:r>
        <w:t xml:space="preserve">The </w:t>
      </w:r>
      <w:r w:rsidR="008062F6">
        <w:rPr>
          <w:b/>
          <w:bCs/>
        </w:rPr>
        <w:t>Threat Modeling Report</w:t>
      </w:r>
      <w:r>
        <w:t xml:space="preserve"> process is </w:t>
      </w:r>
      <w:r w:rsidR="0094320E">
        <w:t>where we see the first direct reference to elements identified in the TARA as necessary</w:t>
      </w:r>
      <w:r w:rsidR="002D2FF8">
        <w:t>.</w:t>
      </w:r>
    </w:p>
    <w:p w14:paraId="145CB991" w14:textId="0BDD7A3F" w:rsidR="005547AF" w:rsidRPr="005547AF" w:rsidRDefault="005547AF" w:rsidP="00F13E10">
      <w:pPr>
        <w:spacing w:after="240"/>
        <w:jc w:val="center"/>
      </w:pPr>
      <w:r>
        <w:rPr>
          <w:noProof/>
        </w:rPr>
        <w:drawing>
          <wp:inline distT="0" distB="0" distL="0" distR="0" wp14:anchorId="4AA789EB" wp14:editId="08D26264">
            <wp:extent cx="5982185" cy="274119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5982185" cy="2741190"/>
                    </a:xfrm>
                    <a:prstGeom prst="rect">
                      <a:avLst/>
                    </a:prstGeom>
                  </pic:spPr>
                </pic:pic>
              </a:graphicData>
            </a:graphic>
          </wp:inline>
        </w:drawing>
      </w:r>
    </w:p>
    <w:p w14:paraId="2BB9E3F8" w14:textId="4EFC7F18" w:rsidR="00F13E10" w:rsidRDefault="0094320E" w:rsidP="00F13E10">
      <w:pPr>
        <w:spacing w:after="240"/>
        <w:jc w:val="both"/>
      </w:pPr>
      <w:r>
        <w:t xml:space="preserve">We will look at each of the activities and explain the correspondence between the </w:t>
      </w:r>
      <w:r w:rsidRPr="0094320E">
        <w:rPr>
          <w:b/>
          <w:bCs/>
        </w:rPr>
        <w:t>AVCDL</w:t>
      </w:r>
      <w:r>
        <w:t xml:space="preserve"> and TARA</w:t>
      </w:r>
      <w:r w:rsidR="00F13E10">
        <w:t>.</w:t>
      </w:r>
    </w:p>
    <w:p w14:paraId="0D5E87FC" w14:textId="77777777" w:rsidR="00015827" w:rsidRDefault="00015827">
      <w:r>
        <w:br w:type="page"/>
      </w:r>
    </w:p>
    <w:p w14:paraId="6A4058F0" w14:textId="6CB40862" w:rsidR="00015827" w:rsidRPr="00015827" w:rsidRDefault="0094320E" w:rsidP="00015827">
      <w:pPr>
        <w:pStyle w:val="Heading3"/>
        <w:rPr>
          <w:b/>
          <w:bCs/>
        </w:rPr>
      </w:pPr>
      <w:r w:rsidRPr="0094320E">
        <w:lastRenderedPageBreak/>
        <w:t>Model Creation:</w:t>
      </w:r>
      <w:r w:rsidR="001042A1">
        <w:rPr>
          <w:b/>
          <w:bCs/>
        </w:rPr>
        <w:br/>
      </w:r>
      <w:r w:rsidR="00015827" w:rsidRPr="00015827">
        <w:rPr>
          <w:b/>
          <w:bCs/>
        </w:rPr>
        <w:t>Asset Identification</w:t>
      </w:r>
    </w:p>
    <w:p w14:paraId="58D04134" w14:textId="7CF92F2C" w:rsidR="00E05458" w:rsidRDefault="00E05458" w:rsidP="00E05458">
      <w:pPr>
        <w:spacing w:after="240"/>
        <w:jc w:val="center"/>
      </w:pPr>
      <w:r>
        <w:rPr>
          <w:noProof/>
        </w:rPr>
        <w:drawing>
          <wp:inline distT="0" distB="0" distL="0" distR="0" wp14:anchorId="7E93971A" wp14:editId="5D56A06D">
            <wp:extent cx="3573145" cy="443036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3595150" cy="4457646"/>
                    </a:xfrm>
                    <a:prstGeom prst="rect">
                      <a:avLst/>
                    </a:prstGeom>
                  </pic:spPr>
                </pic:pic>
              </a:graphicData>
            </a:graphic>
          </wp:inline>
        </w:drawing>
      </w:r>
    </w:p>
    <w:p w14:paraId="7B236131" w14:textId="6F89E6A9" w:rsidR="003C0AE3" w:rsidRDefault="0094320E" w:rsidP="003C0AE3">
      <w:pPr>
        <w:spacing w:after="240"/>
        <w:jc w:val="both"/>
      </w:pPr>
      <w:r>
        <w:t xml:space="preserve">TARA </w:t>
      </w:r>
      <w:r w:rsidRPr="0094320E">
        <w:rPr>
          <w:b/>
          <w:bCs/>
        </w:rPr>
        <w:t>asset identification</w:t>
      </w:r>
      <w:r>
        <w:t xml:space="preserve"> is performed during the </w:t>
      </w:r>
      <w:r w:rsidRPr="0094320E">
        <w:rPr>
          <w:b/>
          <w:bCs/>
        </w:rPr>
        <w:t>model creation</w:t>
      </w:r>
      <w:r>
        <w:t xml:space="preserve"> activity</w:t>
      </w:r>
      <w:r w:rsidR="003C0AE3">
        <w:t>.</w:t>
      </w:r>
      <w:r>
        <w:t xml:space="preserve"> During that activity a model of the element under consideration is created. By its very nature, this requires that assets, data flows and trust boundaries be identified.</w:t>
      </w:r>
    </w:p>
    <w:p w14:paraId="76BB2657" w14:textId="77777777" w:rsidR="00737DA4" w:rsidRDefault="00737DA4">
      <w:pPr>
        <w:rPr>
          <w:sz w:val="32"/>
          <w:szCs w:val="32"/>
        </w:rPr>
      </w:pPr>
      <w:r>
        <w:br w:type="page"/>
      </w:r>
    </w:p>
    <w:p w14:paraId="41E0E8C9" w14:textId="7459C436" w:rsidR="00015827" w:rsidRPr="00015827" w:rsidRDefault="0094320E" w:rsidP="00015827">
      <w:pPr>
        <w:pStyle w:val="Heading3"/>
        <w:rPr>
          <w:b/>
          <w:bCs/>
        </w:rPr>
      </w:pPr>
      <w:r w:rsidRPr="0094320E">
        <w:lastRenderedPageBreak/>
        <w:t>Analysis:</w:t>
      </w:r>
      <w:r w:rsidR="001042A1">
        <w:rPr>
          <w:b/>
          <w:bCs/>
        </w:rPr>
        <w:br/>
      </w:r>
      <w:r w:rsidR="00015827" w:rsidRPr="00015827">
        <w:rPr>
          <w:b/>
          <w:bCs/>
        </w:rPr>
        <w:t>Threat Scenario Identification</w:t>
      </w:r>
      <w:r w:rsidR="00015827">
        <w:t xml:space="preserve"> and </w:t>
      </w:r>
      <w:r w:rsidR="00015827" w:rsidRPr="00015827">
        <w:rPr>
          <w:b/>
          <w:bCs/>
        </w:rPr>
        <w:t>Attack Path Analysis</w:t>
      </w:r>
    </w:p>
    <w:p w14:paraId="22D0FDE6" w14:textId="77777777" w:rsidR="00015827" w:rsidRDefault="00015827" w:rsidP="00015827">
      <w:pPr>
        <w:spacing w:after="240"/>
        <w:jc w:val="center"/>
      </w:pPr>
      <w:r>
        <w:rPr>
          <w:noProof/>
        </w:rPr>
        <w:drawing>
          <wp:inline distT="0" distB="0" distL="0" distR="0" wp14:anchorId="53A0532D" wp14:editId="6D675888">
            <wp:extent cx="4352434" cy="443581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4377196" cy="4461049"/>
                    </a:xfrm>
                    <a:prstGeom prst="rect">
                      <a:avLst/>
                    </a:prstGeom>
                  </pic:spPr>
                </pic:pic>
              </a:graphicData>
            </a:graphic>
          </wp:inline>
        </w:drawing>
      </w:r>
    </w:p>
    <w:p w14:paraId="1721DEDB" w14:textId="237713DF" w:rsidR="00482B12" w:rsidRDefault="0094320E" w:rsidP="00482B12">
      <w:pPr>
        <w:spacing w:after="240"/>
        <w:jc w:val="both"/>
      </w:pPr>
      <w:r>
        <w:t xml:space="preserve">During the </w:t>
      </w:r>
      <w:r w:rsidRPr="0094320E">
        <w:rPr>
          <w:b/>
          <w:bCs/>
        </w:rPr>
        <w:t>analysis</w:t>
      </w:r>
      <w:r>
        <w:t xml:space="preserve"> activity, as the model is reasoned upon in the context of the appropriate security requirements, threat candidates are evoked</w:t>
      </w:r>
      <w:r w:rsidR="00015827">
        <w:t>.</w:t>
      </w:r>
      <w:r>
        <w:t xml:space="preserve"> </w:t>
      </w:r>
      <w:r w:rsidR="0033614A">
        <w:t xml:space="preserve">At this point we have the equivalent of an </w:t>
      </w:r>
      <w:r w:rsidR="0033614A" w:rsidRPr="0033614A">
        <w:rPr>
          <w:b/>
          <w:bCs/>
        </w:rPr>
        <w:t>attack path analysis</w:t>
      </w:r>
      <w:r w:rsidR="0033614A">
        <w:t xml:space="preserve"> being performed. </w:t>
      </w:r>
      <w:r>
        <w:t>Description of these threat candidates</w:t>
      </w:r>
      <w:r w:rsidR="0033614A">
        <w:t xml:space="preserve"> detail the </w:t>
      </w:r>
      <w:r w:rsidR="0033614A" w:rsidRPr="0033614A">
        <w:rPr>
          <w:b/>
          <w:bCs/>
        </w:rPr>
        <w:t>threat scenario</w:t>
      </w:r>
      <w:r w:rsidR="0033614A">
        <w:t xml:space="preserve"> that contextualizes them.</w:t>
      </w:r>
    </w:p>
    <w:p w14:paraId="2A421719" w14:textId="1DB77804" w:rsidR="00B84743" w:rsidRDefault="00B84743" w:rsidP="00B84743">
      <w:pPr>
        <w:spacing w:after="240"/>
        <w:ind w:left="720" w:hanging="720"/>
        <w:jc w:val="both"/>
      </w:pPr>
      <w:r w:rsidRPr="00B84743">
        <w:rPr>
          <w:b/>
          <w:bCs/>
          <w:color w:val="0070C0"/>
        </w:rPr>
        <w:t>Note:</w:t>
      </w:r>
      <w:r w:rsidRPr="00B84743">
        <w:rPr>
          <w:b/>
          <w:bCs/>
          <w:color w:val="0070C0"/>
        </w:rPr>
        <w:tab/>
      </w:r>
      <w:r>
        <w:t>As discussed in ISO 21434 clause 15.6.2 note 1, there is no single methodology by which an attack path analysis is conducted. Such an analysis is the natural consequence of the performance of a threat modeling activity (</w:t>
      </w:r>
      <w:r w:rsidRPr="00B84743">
        <w:rPr>
          <w:b/>
          <w:bCs/>
        </w:rPr>
        <w:t>Threat Modeling Report</w:t>
      </w:r>
      <w:r>
        <w:t xml:space="preserve"> </w:t>
      </w:r>
      <w:r w:rsidRPr="00B84743">
        <w:rPr>
          <w:b/>
          <w:bCs/>
          <w:color w:val="0070C0"/>
          <w:vertAlign w:val="superscript"/>
        </w:rPr>
        <w:t>[4]</w:t>
      </w:r>
      <w:r>
        <w:t>). The information contained in that report is further elaborated upon in the ranking activity (</w:t>
      </w:r>
      <w:r w:rsidRPr="00B84743">
        <w:rPr>
          <w:b/>
          <w:bCs/>
        </w:rPr>
        <w:t>Ranked / Risked Threat Report</w:t>
      </w:r>
      <w:r>
        <w:t xml:space="preserve"> </w:t>
      </w:r>
      <w:r w:rsidRPr="00B84743">
        <w:rPr>
          <w:b/>
          <w:bCs/>
          <w:color w:val="0070C0"/>
          <w:vertAlign w:val="superscript"/>
        </w:rPr>
        <w:t>[</w:t>
      </w:r>
      <w:r>
        <w:rPr>
          <w:b/>
          <w:bCs/>
          <w:color w:val="0070C0"/>
          <w:vertAlign w:val="superscript"/>
        </w:rPr>
        <w:t>6</w:t>
      </w:r>
      <w:r w:rsidRPr="00B84743">
        <w:rPr>
          <w:b/>
          <w:bCs/>
          <w:color w:val="0070C0"/>
          <w:vertAlign w:val="superscript"/>
        </w:rPr>
        <w:t>]</w:t>
      </w:r>
      <w:r>
        <w:t>) which is part of the general threat prioritization process (</w:t>
      </w:r>
      <w:r w:rsidRPr="00B84743">
        <w:rPr>
          <w:b/>
          <w:bCs/>
        </w:rPr>
        <w:t>Threat Prioritization Process</w:t>
      </w:r>
      <w:r>
        <w:t xml:space="preserve"> </w:t>
      </w:r>
      <w:r w:rsidRPr="00B84743">
        <w:rPr>
          <w:b/>
          <w:bCs/>
          <w:color w:val="0070C0"/>
          <w:vertAlign w:val="superscript"/>
        </w:rPr>
        <w:t>[</w:t>
      </w:r>
      <w:r>
        <w:rPr>
          <w:b/>
          <w:bCs/>
          <w:color w:val="0070C0"/>
          <w:vertAlign w:val="superscript"/>
        </w:rPr>
        <w:t>5</w:t>
      </w:r>
      <w:r w:rsidRPr="00B84743">
        <w:rPr>
          <w:b/>
          <w:bCs/>
          <w:color w:val="0070C0"/>
          <w:vertAlign w:val="superscript"/>
        </w:rPr>
        <w:t>]</w:t>
      </w:r>
      <w:r>
        <w:t>).</w:t>
      </w:r>
    </w:p>
    <w:p w14:paraId="61B40E95" w14:textId="0C0AD88A" w:rsidR="00015827" w:rsidRPr="00482B12" w:rsidRDefault="00015827" w:rsidP="00482B12">
      <w:pPr>
        <w:spacing w:after="240"/>
        <w:jc w:val="both"/>
      </w:pPr>
      <w:r>
        <w:br w:type="page"/>
      </w:r>
    </w:p>
    <w:p w14:paraId="732EF166" w14:textId="2ED09DED" w:rsidR="0082660E" w:rsidRDefault="00015827" w:rsidP="0082660E">
      <w:pPr>
        <w:pStyle w:val="Heading2"/>
      </w:pPr>
      <w:r>
        <w:lastRenderedPageBreak/>
        <w:t>Threat Prioritization</w:t>
      </w:r>
      <w:r w:rsidR="00CB28CE">
        <w:t xml:space="preserve"> Plan</w:t>
      </w:r>
      <w:r>
        <w:t xml:space="preserve"> </w:t>
      </w:r>
      <w:r w:rsidR="008E0343" w:rsidRPr="008E0343">
        <w:rPr>
          <w:b/>
          <w:bCs/>
          <w:color w:val="0070C0"/>
          <w:vertAlign w:val="superscript"/>
        </w:rPr>
        <w:t>[</w:t>
      </w:r>
      <w:r>
        <w:rPr>
          <w:b/>
          <w:bCs/>
          <w:color w:val="0070C0"/>
          <w:vertAlign w:val="superscript"/>
        </w:rPr>
        <w:t>5</w:t>
      </w:r>
      <w:r w:rsidR="008E0343" w:rsidRPr="008E0343">
        <w:rPr>
          <w:b/>
          <w:bCs/>
          <w:color w:val="0070C0"/>
          <w:vertAlign w:val="superscript"/>
        </w:rPr>
        <w:t>]</w:t>
      </w:r>
    </w:p>
    <w:p w14:paraId="7E8B8B47" w14:textId="5ECAA719" w:rsidR="005547AF" w:rsidRDefault="00060EB8" w:rsidP="0082660E">
      <w:pPr>
        <w:spacing w:after="240"/>
        <w:jc w:val="both"/>
      </w:pPr>
      <w:r>
        <w:t xml:space="preserve">The </w:t>
      </w:r>
      <w:r w:rsidR="0033614A">
        <w:rPr>
          <w:b/>
          <w:bCs/>
        </w:rPr>
        <w:t>Threat Prioritization Plan</w:t>
      </w:r>
      <w:r>
        <w:t xml:space="preserve"> process </w:t>
      </w:r>
      <w:r w:rsidR="0033614A">
        <w:t>provides consistent mechanism for treatment of issues</w:t>
      </w:r>
      <w:r>
        <w:t>.</w:t>
      </w:r>
      <w:r w:rsidR="0033614A">
        <w:t xml:space="preserve"> These issues may come from threat modeling, attack surface analysis, incident reports, or other sources.</w:t>
      </w:r>
    </w:p>
    <w:p w14:paraId="08F41BF0" w14:textId="5C5234F1" w:rsidR="005547AF" w:rsidRDefault="005547AF" w:rsidP="006D7E56">
      <w:pPr>
        <w:spacing w:after="240"/>
        <w:jc w:val="center"/>
      </w:pPr>
      <w:r>
        <w:rPr>
          <w:noProof/>
        </w:rPr>
        <w:drawing>
          <wp:inline distT="0" distB="0" distL="0" distR="0" wp14:anchorId="58C5F949" wp14:editId="32EDA5A6">
            <wp:extent cx="5990721" cy="2747941"/>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5990721" cy="2747941"/>
                    </a:xfrm>
                    <a:prstGeom prst="rect">
                      <a:avLst/>
                    </a:prstGeom>
                  </pic:spPr>
                </pic:pic>
              </a:graphicData>
            </a:graphic>
          </wp:inline>
        </w:drawing>
      </w:r>
    </w:p>
    <w:p w14:paraId="27D66CDA" w14:textId="35E7EF8E" w:rsidR="006D7E56" w:rsidRDefault="0033614A" w:rsidP="006D7E56">
      <w:pPr>
        <w:spacing w:after="240"/>
        <w:jc w:val="both"/>
      </w:pPr>
      <w:r>
        <w:t>We will now consider the activities in this process</w:t>
      </w:r>
      <w:r w:rsidR="006D7E56">
        <w:t>.</w:t>
      </w:r>
    </w:p>
    <w:p w14:paraId="485FEB1A" w14:textId="77777777" w:rsidR="0069559F" w:rsidRDefault="0069559F">
      <w:r>
        <w:br w:type="page"/>
      </w:r>
    </w:p>
    <w:p w14:paraId="00BFB877" w14:textId="3433F3A2" w:rsidR="008E3A2F" w:rsidRPr="0069559F" w:rsidRDefault="0094320E" w:rsidP="001042A1">
      <w:pPr>
        <w:pStyle w:val="Heading3"/>
        <w:spacing w:after="240"/>
        <w:rPr>
          <w:b/>
          <w:bCs/>
        </w:rPr>
      </w:pPr>
      <w:r>
        <w:lastRenderedPageBreak/>
        <w:t>Threat Candidate Ranking:</w:t>
      </w:r>
      <w:r w:rsidR="001042A1">
        <w:br/>
      </w:r>
      <w:r w:rsidR="0069559F" w:rsidRPr="0069559F">
        <w:rPr>
          <w:b/>
          <w:bCs/>
        </w:rPr>
        <w:t>Attack Feasibility Rating</w:t>
      </w:r>
      <w:r w:rsidR="001042A1">
        <w:rPr>
          <w:b/>
          <w:bCs/>
        </w:rPr>
        <w:t xml:space="preserve"> </w:t>
      </w:r>
      <w:r w:rsidR="001042A1" w:rsidRPr="001042A1">
        <w:t>and</w:t>
      </w:r>
      <w:r w:rsidR="001042A1">
        <w:rPr>
          <w:b/>
          <w:bCs/>
        </w:rPr>
        <w:t xml:space="preserve"> Damage Scenario Identification</w:t>
      </w:r>
    </w:p>
    <w:p w14:paraId="62D9E56A" w14:textId="0EBA9173" w:rsidR="00E05458" w:rsidRDefault="00E05458" w:rsidP="00E05458">
      <w:pPr>
        <w:spacing w:after="240"/>
        <w:jc w:val="center"/>
      </w:pPr>
      <w:r>
        <w:rPr>
          <w:noProof/>
        </w:rPr>
        <w:drawing>
          <wp:inline distT="0" distB="0" distL="0" distR="0" wp14:anchorId="266AA2D9" wp14:editId="15062949">
            <wp:extent cx="4597392" cy="438727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4647750" cy="4435329"/>
                    </a:xfrm>
                    <a:prstGeom prst="rect">
                      <a:avLst/>
                    </a:prstGeom>
                  </pic:spPr>
                </pic:pic>
              </a:graphicData>
            </a:graphic>
          </wp:inline>
        </w:drawing>
      </w:r>
    </w:p>
    <w:p w14:paraId="08EBCEB7" w14:textId="18AEFDEC" w:rsidR="00737DA4" w:rsidRPr="00CB214F" w:rsidRDefault="00060EB8" w:rsidP="00CB214F">
      <w:pPr>
        <w:spacing w:after="240"/>
        <w:jc w:val="both"/>
      </w:pPr>
      <w:r>
        <w:t xml:space="preserve">During the </w:t>
      </w:r>
      <w:r w:rsidR="00CB214F">
        <w:rPr>
          <w:b/>
          <w:bCs/>
        </w:rPr>
        <w:t>threat candidate</w:t>
      </w:r>
      <w:r w:rsidR="001042A1">
        <w:rPr>
          <w:b/>
          <w:bCs/>
        </w:rPr>
        <w:t xml:space="preserve"> ranking</w:t>
      </w:r>
      <w:r w:rsidR="00CB214F">
        <w:rPr>
          <w:b/>
          <w:bCs/>
        </w:rPr>
        <w:t xml:space="preserve"> </w:t>
      </w:r>
      <w:r w:rsidR="00CB214F">
        <w:t xml:space="preserve">activity, the </w:t>
      </w:r>
      <w:r w:rsidR="00CB214F" w:rsidRPr="00CB214F">
        <w:rPr>
          <w:b/>
          <w:bCs/>
        </w:rPr>
        <w:t>triaged threat candidates</w:t>
      </w:r>
      <w:r w:rsidR="00CB214F">
        <w:t xml:space="preserve"> are ranked</w:t>
      </w:r>
      <w:r>
        <w:t>.</w:t>
      </w:r>
      <w:r w:rsidR="00CB214F">
        <w:t xml:space="preserve"> This is the TARA equivalent of determining an </w:t>
      </w:r>
      <w:r w:rsidR="00CB214F" w:rsidRPr="00CB214F">
        <w:rPr>
          <w:b/>
          <w:bCs/>
        </w:rPr>
        <w:t>attack feasibility rating</w:t>
      </w:r>
      <w:r w:rsidR="00CB214F">
        <w:t>.</w:t>
      </w:r>
      <w:r w:rsidR="001042A1">
        <w:t xml:space="preserve"> At this time a </w:t>
      </w:r>
      <w:r w:rsidR="001042A1" w:rsidRPr="001042A1">
        <w:rPr>
          <w:b/>
          <w:bCs/>
        </w:rPr>
        <w:t>damage scenario</w:t>
      </w:r>
      <w:r w:rsidR="001042A1">
        <w:t xml:space="preserve"> representing the worst case resulting from the threat being exploited</w:t>
      </w:r>
      <w:r w:rsidR="001042A1" w:rsidRPr="001042A1">
        <w:t xml:space="preserve"> </w:t>
      </w:r>
      <w:r w:rsidR="001042A1">
        <w:t>is identified.</w:t>
      </w:r>
      <w:r w:rsidR="00737DA4">
        <w:br w:type="page"/>
      </w:r>
    </w:p>
    <w:p w14:paraId="33B71555" w14:textId="10E31935" w:rsidR="0082660E" w:rsidRPr="0069559F" w:rsidRDefault="0094320E" w:rsidP="0069559F">
      <w:pPr>
        <w:pStyle w:val="Heading3"/>
        <w:rPr>
          <w:b/>
          <w:bCs/>
        </w:rPr>
      </w:pPr>
      <w:r>
        <w:lastRenderedPageBreak/>
        <w:t>Ranked Threat Candidate Risking:</w:t>
      </w:r>
      <w:r w:rsidR="001042A1">
        <w:br/>
      </w:r>
      <w:r w:rsidR="0069559F" w:rsidRPr="0069559F">
        <w:rPr>
          <w:b/>
          <w:bCs/>
        </w:rPr>
        <w:t>Impact Rating</w:t>
      </w:r>
      <w:r w:rsidR="00032736">
        <w:rPr>
          <w:b/>
          <w:bCs/>
        </w:rPr>
        <w:t xml:space="preserve"> </w:t>
      </w:r>
      <w:r w:rsidR="00032736" w:rsidRPr="00032736">
        <w:t>and</w:t>
      </w:r>
      <w:r w:rsidR="00032736">
        <w:rPr>
          <w:b/>
          <w:bCs/>
        </w:rPr>
        <w:t xml:space="preserve"> Cybersecurity Claim</w:t>
      </w:r>
    </w:p>
    <w:p w14:paraId="644D8CED" w14:textId="564358F0" w:rsidR="005547AF" w:rsidRDefault="005547AF" w:rsidP="009E508B">
      <w:pPr>
        <w:spacing w:after="240"/>
        <w:jc w:val="center"/>
      </w:pPr>
      <w:r>
        <w:rPr>
          <w:noProof/>
        </w:rPr>
        <w:drawing>
          <wp:inline distT="0" distB="0" distL="0" distR="0" wp14:anchorId="70B7CD25" wp14:editId="71BE8E46">
            <wp:extent cx="3353505" cy="4477057"/>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3353505" cy="4477057"/>
                    </a:xfrm>
                    <a:prstGeom prst="rect">
                      <a:avLst/>
                    </a:prstGeom>
                  </pic:spPr>
                </pic:pic>
              </a:graphicData>
            </a:graphic>
          </wp:inline>
        </w:drawing>
      </w:r>
    </w:p>
    <w:p w14:paraId="72A8A4F3" w14:textId="3DC49290" w:rsidR="00CB214F" w:rsidRPr="00CB214F" w:rsidRDefault="00CB214F" w:rsidP="00CB214F">
      <w:pPr>
        <w:spacing w:after="240"/>
        <w:jc w:val="both"/>
      </w:pPr>
      <w:r>
        <w:t xml:space="preserve">During the </w:t>
      </w:r>
      <w:r>
        <w:rPr>
          <w:b/>
          <w:bCs/>
        </w:rPr>
        <w:t xml:space="preserve">ranked threat candidate risking </w:t>
      </w:r>
      <w:r>
        <w:t>activity</w:t>
      </w:r>
      <w:r w:rsidR="00B96C1B">
        <w:t xml:space="preserve"> (</w:t>
      </w:r>
      <w:r w:rsidR="00B96C1B" w:rsidRPr="00B96C1B">
        <w:rPr>
          <w:b/>
          <w:bCs/>
        </w:rPr>
        <w:t>Ranked / Risked Threat Report</w:t>
      </w:r>
      <w:r w:rsidR="00B96C1B">
        <w:t>)</w:t>
      </w:r>
      <w:r>
        <w:t xml:space="preserve">, the </w:t>
      </w:r>
      <w:r>
        <w:rPr>
          <w:b/>
          <w:bCs/>
        </w:rPr>
        <w:t>ranked</w:t>
      </w:r>
      <w:r w:rsidRPr="00CB214F">
        <w:rPr>
          <w:b/>
          <w:bCs/>
        </w:rPr>
        <w:t xml:space="preserve"> threat candidates</w:t>
      </w:r>
      <w:r>
        <w:t xml:space="preserve"> are risked</w:t>
      </w:r>
      <w:r w:rsidR="001042A1">
        <w:t xml:space="preserve"> based on the damage scenario identified during the </w:t>
      </w:r>
      <w:r w:rsidR="001042A1" w:rsidRPr="001042A1">
        <w:rPr>
          <w:b/>
          <w:bCs/>
        </w:rPr>
        <w:t>threat candidate ranking</w:t>
      </w:r>
      <w:r w:rsidR="001042A1">
        <w:t xml:space="preserve"> activity</w:t>
      </w:r>
      <w:r>
        <w:t xml:space="preserve">. This is the TARA equivalent of determining an </w:t>
      </w:r>
      <w:r>
        <w:rPr>
          <w:b/>
          <w:bCs/>
        </w:rPr>
        <w:t>impact</w:t>
      </w:r>
      <w:r w:rsidRPr="00CB214F">
        <w:rPr>
          <w:b/>
          <w:bCs/>
        </w:rPr>
        <w:t xml:space="preserve"> rating</w:t>
      </w:r>
      <w:r>
        <w:t>.</w:t>
      </w:r>
      <w:r w:rsidR="00B96C1B">
        <w:t xml:space="preserve"> The ranked/risked threat candidates contain the justification of value determination which is a </w:t>
      </w:r>
      <w:r w:rsidR="00B96C1B" w:rsidRPr="00B96C1B">
        <w:rPr>
          <w:b/>
          <w:bCs/>
        </w:rPr>
        <w:t>cybersecurity claim</w:t>
      </w:r>
      <w:r w:rsidR="00B96C1B">
        <w:t>.</w:t>
      </w:r>
      <w:r>
        <w:br w:type="page"/>
      </w:r>
    </w:p>
    <w:p w14:paraId="5F24C7C6" w14:textId="339CAFF0" w:rsidR="00B667CA" w:rsidRPr="0069559F" w:rsidRDefault="0094320E" w:rsidP="0069559F">
      <w:pPr>
        <w:pStyle w:val="Heading3"/>
        <w:rPr>
          <w:b/>
          <w:bCs/>
        </w:rPr>
      </w:pPr>
      <w:r>
        <w:lastRenderedPageBreak/>
        <w:t>Threat Candidate Slicing:</w:t>
      </w:r>
      <w:r w:rsidR="001042A1">
        <w:br/>
      </w:r>
      <w:r w:rsidR="0069559F" w:rsidRPr="0069559F">
        <w:rPr>
          <w:b/>
          <w:bCs/>
        </w:rPr>
        <w:t>Risk Determination</w:t>
      </w:r>
    </w:p>
    <w:p w14:paraId="5B513DA8" w14:textId="484EC383" w:rsidR="005547AF" w:rsidRDefault="005547AF" w:rsidP="009E508B">
      <w:pPr>
        <w:spacing w:after="240"/>
        <w:jc w:val="center"/>
      </w:pPr>
      <w:r>
        <w:rPr>
          <w:noProof/>
        </w:rPr>
        <w:drawing>
          <wp:inline distT="0" distB="0" distL="0" distR="0" wp14:anchorId="10AF51E8" wp14:editId="38158022">
            <wp:extent cx="4737370" cy="4431734"/>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9">
                      <a:extLst>
                        <a:ext uri="{28A0092B-C50C-407E-A947-70E740481C1C}">
                          <a14:useLocalDpi xmlns:a14="http://schemas.microsoft.com/office/drawing/2010/main" val="0"/>
                        </a:ext>
                      </a:extLst>
                    </a:blip>
                    <a:stretch>
                      <a:fillRect/>
                    </a:stretch>
                  </pic:blipFill>
                  <pic:spPr>
                    <a:xfrm>
                      <a:off x="0" y="0"/>
                      <a:ext cx="4776945" cy="4468756"/>
                    </a:xfrm>
                    <a:prstGeom prst="rect">
                      <a:avLst/>
                    </a:prstGeom>
                  </pic:spPr>
                </pic:pic>
              </a:graphicData>
            </a:graphic>
          </wp:inline>
        </w:drawing>
      </w:r>
    </w:p>
    <w:p w14:paraId="5F218745" w14:textId="7B39BE0E" w:rsidR="00AA559B" w:rsidRDefault="00CB214F" w:rsidP="00CB214F">
      <w:pPr>
        <w:spacing w:after="240"/>
        <w:jc w:val="both"/>
      </w:pPr>
      <w:r>
        <w:t xml:space="preserve">During the </w:t>
      </w:r>
      <w:r>
        <w:rPr>
          <w:b/>
          <w:bCs/>
        </w:rPr>
        <w:t xml:space="preserve">threat candidate slicing </w:t>
      </w:r>
      <w:r>
        <w:t xml:space="preserve">activity, the </w:t>
      </w:r>
      <w:r>
        <w:rPr>
          <w:b/>
          <w:bCs/>
        </w:rPr>
        <w:t>ranked / risked</w:t>
      </w:r>
      <w:r w:rsidRPr="00CB214F">
        <w:rPr>
          <w:b/>
          <w:bCs/>
        </w:rPr>
        <w:t xml:space="preserve"> threat candidates</w:t>
      </w:r>
      <w:r>
        <w:t xml:space="preserve"> are </w:t>
      </w:r>
      <w:r w:rsidR="00AA559B">
        <w:t>determined to be either controlled or uncontrolled</w:t>
      </w:r>
      <w:r>
        <w:t xml:space="preserve">. This is the TARA equivalent of determining </w:t>
      </w:r>
      <w:r w:rsidR="001042A1">
        <w:t>a</w:t>
      </w:r>
      <w:r>
        <w:t xml:space="preserve"> </w:t>
      </w:r>
      <w:r w:rsidR="00AA559B">
        <w:rPr>
          <w:b/>
          <w:bCs/>
        </w:rPr>
        <w:t>risk determination</w:t>
      </w:r>
      <w:r>
        <w:t>.</w:t>
      </w:r>
    </w:p>
    <w:p w14:paraId="045129FF" w14:textId="08794AAF" w:rsidR="00CB214F" w:rsidRPr="00CB214F" w:rsidRDefault="00AA559B" w:rsidP="00CB214F">
      <w:pPr>
        <w:spacing w:after="240"/>
        <w:jc w:val="both"/>
      </w:pPr>
      <w:r>
        <w:t xml:space="preserve">From here, </w:t>
      </w:r>
      <w:r w:rsidRPr="00AA559B">
        <w:rPr>
          <w:b/>
          <w:bCs/>
        </w:rPr>
        <w:t>uncontrolled threats</w:t>
      </w:r>
      <w:r>
        <w:t xml:space="preserve"> are transferred to the issue tracking system for standard disposition.</w:t>
      </w:r>
      <w:r w:rsidR="00CB214F">
        <w:br w:type="page"/>
      </w:r>
    </w:p>
    <w:p w14:paraId="0000000C" w14:textId="2BE16621" w:rsidR="00E27AF5" w:rsidRDefault="008C1D59">
      <w:pPr>
        <w:pStyle w:val="Heading1"/>
      </w:pPr>
      <w:r>
        <w:lastRenderedPageBreak/>
        <w:t>References</w:t>
      </w:r>
    </w:p>
    <w:p w14:paraId="0000000D" w14:textId="10A40850" w:rsidR="00E27AF5" w:rsidRPr="00083732" w:rsidRDefault="0082660E" w:rsidP="0082660E">
      <w:pPr>
        <w:pStyle w:val="ListParagraph"/>
        <w:numPr>
          <w:ilvl w:val="0"/>
          <w:numId w:val="2"/>
        </w:numPr>
        <w:rPr>
          <w:b/>
        </w:rPr>
      </w:pPr>
      <w:bookmarkStart w:id="4" w:name="ref_01"/>
      <w:bookmarkEnd w:id="4"/>
      <w:r>
        <w:rPr>
          <w:b/>
        </w:rPr>
        <w:t xml:space="preserve">Autonomous Vehicle Cybersecurity Development Lifecycle </w:t>
      </w:r>
      <w:r w:rsidRPr="0082660E">
        <w:rPr>
          <w:bCs/>
        </w:rPr>
        <w:t>(AVCDL primary document)</w:t>
      </w:r>
    </w:p>
    <w:p w14:paraId="7FDF9DA1" w14:textId="7BF04426" w:rsidR="00083732" w:rsidRPr="00083732" w:rsidRDefault="002B6F2D" w:rsidP="0082660E">
      <w:pPr>
        <w:pStyle w:val="ListParagraph"/>
        <w:numPr>
          <w:ilvl w:val="0"/>
          <w:numId w:val="2"/>
        </w:numPr>
        <w:rPr>
          <w:b/>
        </w:rPr>
      </w:pPr>
      <w:r>
        <w:rPr>
          <w:b/>
        </w:rPr>
        <w:t>Product-level Security Requirements</w:t>
      </w:r>
      <w:r w:rsidR="00083732">
        <w:rPr>
          <w:b/>
        </w:rPr>
        <w:t xml:space="preserve"> </w:t>
      </w:r>
      <w:r w:rsidR="00083732" w:rsidRPr="0082660E">
        <w:rPr>
          <w:bCs/>
        </w:rPr>
        <w:t xml:space="preserve">(AVCDL </w:t>
      </w:r>
      <w:r w:rsidR="00083732">
        <w:rPr>
          <w:bCs/>
        </w:rPr>
        <w:t>secondary</w:t>
      </w:r>
      <w:r w:rsidR="00083732" w:rsidRPr="0082660E">
        <w:rPr>
          <w:bCs/>
        </w:rPr>
        <w:t xml:space="preserve"> document)</w:t>
      </w:r>
    </w:p>
    <w:p w14:paraId="37BFF485" w14:textId="5FB49EE6" w:rsidR="00083732" w:rsidRDefault="002B6F2D" w:rsidP="0082660E">
      <w:pPr>
        <w:pStyle w:val="ListParagraph"/>
        <w:numPr>
          <w:ilvl w:val="0"/>
          <w:numId w:val="2"/>
        </w:numPr>
        <w:rPr>
          <w:b/>
        </w:rPr>
      </w:pPr>
      <w:r>
        <w:rPr>
          <w:b/>
        </w:rPr>
        <w:t>Design Showing Security Considerations</w:t>
      </w:r>
      <w:r w:rsidR="00083732">
        <w:rPr>
          <w:b/>
        </w:rPr>
        <w:t xml:space="preserve"> </w:t>
      </w:r>
      <w:r w:rsidR="00083732" w:rsidRPr="0082660E">
        <w:rPr>
          <w:bCs/>
        </w:rPr>
        <w:t xml:space="preserve">(AVCDL </w:t>
      </w:r>
      <w:r w:rsidR="00083732">
        <w:rPr>
          <w:bCs/>
        </w:rPr>
        <w:t>secondary</w:t>
      </w:r>
      <w:r w:rsidR="00083732" w:rsidRPr="0082660E">
        <w:rPr>
          <w:bCs/>
        </w:rPr>
        <w:t xml:space="preserve"> document)</w:t>
      </w:r>
    </w:p>
    <w:p w14:paraId="431177EF" w14:textId="437C4DB2" w:rsidR="00083732" w:rsidRDefault="002B6F2D" w:rsidP="0082660E">
      <w:pPr>
        <w:pStyle w:val="ListParagraph"/>
        <w:numPr>
          <w:ilvl w:val="0"/>
          <w:numId w:val="2"/>
        </w:numPr>
        <w:rPr>
          <w:b/>
        </w:rPr>
      </w:pPr>
      <w:r>
        <w:rPr>
          <w:b/>
        </w:rPr>
        <w:t>Threat Modeling Report</w:t>
      </w:r>
      <w:r w:rsidR="00083732">
        <w:rPr>
          <w:b/>
        </w:rPr>
        <w:t xml:space="preserve"> </w:t>
      </w:r>
      <w:r w:rsidR="00083732" w:rsidRPr="0082660E">
        <w:rPr>
          <w:bCs/>
        </w:rPr>
        <w:t xml:space="preserve">(AVCDL </w:t>
      </w:r>
      <w:r w:rsidR="00083732">
        <w:rPr>
          <w:bCs/>
        </w:rPr>
        <w:t>secondary</w:t>
      </w:r>
      <w:r w:rsidR="00083732" w:rsidRPr="0082660E">
        <w:rPr>
          <w:bCs/>
        </w:rPr>
        <w:t xml:space="preserve"> document)</w:t>
      </w:r>
    </w:p>
    <w:p w14:paraId="7E58CEFD" w14:textId="76EF8D27" w:rsidR="00083732" w:rsidRDefault="002B6F2D" w:rsidP="0082660E">
      <w:pPr>
        <w:pStyle w:val="ListParagraph"/>
        <w:numPr>
          <w:ilvl w:val="0"/>
          <w:numId w:val="2"/>
        </w:numPr>
        <w:rPr>
          <w:b/>
        </w:rPr>
      </w:pPr>
      <w:r>
        <w:rPr>
          <w:b/>
        </w:rPr>
        <w:t>Threat Prioritization</w:t>
      </w:r>
      <w:r w:rsidR="00083732">
        <w:rPr>
          <w:b/>
        </w:rPr>
        <w:t xml:space="preserve"> Plan </w:t>
      </w:r>
      <w:r w:rsidR="00083732" w:rsidRPr="0082660E">
        <w:rPr>
          <w:bCs/>
        </w:rPr>
        <w:t xml:space="preserve">(AVCDL </w:t>
      </w:r>
      <w:r w:rsidR="00083732">
        <w:rPr>
          <w:bCs/>
        </w:rPr>
        <w:t>secondary</w:t>
      </w:r>
      <w:r w:rsidR="00083732" w:rsidRPr="0082660E">
        <w:rPr>
          <w:bCs/>
        </w:rPr>
        <w:t xml:space="preserve"> document)</w:t>
      </w:r>
    </w:p>
    <w:p w14:paraId="72BB7FB6" w14:textId="3DE1E268" w:rsidR="00083732" w:rsidRDefault="00F01CB8" w:rsidP="0082660E">
      <w:pPr>
        <w:pStyle w:val="ListParagraph"/>
        <w:numPr>
          <w:ilvl w:val="0"/>
          <w:numId w:val="2"/>
        </w:numPr>
        <w:rPr>
          <w:b/>
        </w:rPr>
      </w:pPr>
      <w:r>
        <w:rPr>
          <w:b/>
        </w:rPr>
        <w:t xml:space="preserve">Ranked </w:t>
      </w:r>
      <w:r w:rsidR="00B84743">
        <w:rPr>
          <w:b/>
        </w:rPr>
        <w:t>/</w:t>
      </w:r>
      <w:r>
        <w:rPr>
          <w:b/>
        </w:rPr>
        <w:t xml:space="preserve"> Risked Threat Report</w:t>
      </w:r>
      <w:r w:rsidR="00083732">
        <w:rPr>
          <w:b/>
        </w:rPr>
        <w:t xml:space="preserve"> </w:t>
      </w:r>
      <w:r w:rsidR="00083732" w:rsidRPr="0082660E">
        <w:rPr>
          <w:bCs/>
        </w:rPr>
        <w:t xml:space="preserve">(AVCDL </w:t>
      </w:r>
      <w:r w:rsidR="00083732">
        <w:rPr>
          <w:bCs/>
        </w:rPr>
        <w:t>secondary</w:t>
      </w:r>
      <w:r w:rsidR="00083732" w:rsidRPr="0082660E">
        <w:rPr>
          <w:bCs/>
        </w:rPr>
        <w:t xml:space="preserve"> document)</w:t>
      </w:r>
    </w:p>
    <w:p w14:paraId="7B882020" w14:textId="31379C14" w:rsidR="00083732" w:rsidRDefault="00F01CB8" w:rsidP="0082660E">
      <w:pPr>
        <w:pStyle w:val="ListParagraph"/>
        <w:numPr>
          <w:ilvl w:val="0"/>
          <w:numId w:val="2"/>
        </w:numPr>
        <w:rPr>
          <w:b/>
        </w:rPr>
      </w:pPr>
      <w:r>
        <w:rPr>
          <w:b/>
        </w:rPr>
        <w:t>Threat Report</w:t>
      </w:r>
      <w:r w:rsidR="00083732">
        <w:rPr>
          <w:b/>
        </w:rPr>
        <w:t xml:space="preserve"> </w:t>
      </w:r>
      <w:r w:rsidR="00083732" w:rsidRPr="0082660E">
        <w:rPr>
          <w:bCs/>
        </w:rPr>
        <w:t xml:space="preserve">(AVCDL </w:t>
      </w:r>
      <w:r w:rsidR="00083732">
        <w:rPr>
          <w:bCs/>
        </w:rPr>
        <w:t>secondary</w:t>
      </w:r>
      <w:r w:rsidR="00083732" w:rsidRPr="0082660E">
        <w:rPr>
          <w:bCs/>
        </w:rPr>
        <w:t xml:space="preserve"> document)</w:t>
      </w:r>
    </w:p>
    <w:p w14:paraId="4A8935A9" w14:textId="0027DC75" w:rsidR="00083732" w:rsidRDefault="00F01CB8" w:rsidP="0082660E">
      <w:pPr>
        <w:pStyle w:val="ListParagraph"/>
        <w:numPr>
          <w:ilvl w:val="0"/>
          <w:numId w:val="2"/>
        </w:numPr>
        <w:rPr>
          <w:b/>
        </w:rPr>
      </w:pPr>
      <w:r>
        <w:rPr>
          <w:b/>
        </w:rPr>
        <w:t>Global Security Goals</w:t>
      </w:r>
      <w:r w:rsidR="00083732">
        <w:rPr>
          <w:b/>
        </w:rPr>
        <w:t xml:space="preserve"> </w:t>
      </w:r>
      <w:r w:rsidR="00083732" w:rsidRPr="0082660E">
        <w:rPr>
          <w:bCs/>
        </w:rPr>
        <w:t xml:space="preserve">(AVCDL </w:t>
      </w:r>
      <w:r w:rsidR="00083732">
        <w:rPr>
          <w:bCs/>
        </w:rPr>
        <w:t>secondary</w:t>
      </w:r>
      <w:r w:rsidR="00083732" w:rsidRPr="0082660E">
        <w:rPr>
          <w:bCs/>
        </w:rPr>
        <w:t xml:space="preserve"> document)</w:t>
      </w:r>
    </w:p>
    <w:p w14:paraId="3B73265E" w14:textId="2B7B739F" w:rsidR="00083732" w:rsidRPr="00083732" w:rsidRDefault="00F01CB8" w:rsidP="0082660E">
      <w:pPr>
        <w:pStyle w:val="ListParagraph"/>
        <w:numPr>
          <w:ilvl w:val="0"/>
          <w:numId w:val="2"/>
        </w:numPr>
        <w:rPr>
          <w:b/>
        </w:rPr>
      </w:pPr>
      <w:r>
        <w:rPr>
          <w:rStyle w:val="Hyperlink"/>
          <w:b/>
          <w:color w:val="auto"/>
          <w:u w:val="none"/>
        </w:rPr>
        <w:t>Product-level Security Goals</w:t>
      </w:r>
      <w:r w:rsidR="00083732">
        <w:rPr>
          <w:b/>
        </w:rPr>
        <w:t xml:space="preserve"> </w:t>
      </w:r>
      <w:r w:rsidR="00083732" w:rsidRPr="0082660E">
        <w:rPr>
          <w:bCs/>
        </w:rPr>
        <w:t xml:space="preserve">(AVCDL </w:t>
      </w:r>
      <w:r w:rsidR="00083732">
        <w:rPr>
          <w:bCs/>
        </w:rPr>
        <w:t>secondary</w:t>
      </w:r>
      <w:r w:rsidR="00083732" w:rsidRPr="0082660E">
        <w:rPr>
          <w:bCs/>
        </w:rPr>
        <w:t xml:space="preserve"> document)</w:t>
      </w:r>
    </w:p>
    <w:p w14:paraId="1013B0BE" w14:textId="03264F04" w:rsidR="00083732" w:rsidRPr="00A62E75" w:rsidRDefault="00F01CB8" w:rsidP="0082660E">
      <w:pPr>
        <w:pStyle w:val="ListParagraph"/>
        <w:numPr>
          <w:ilvl w:val="0"/>
          <w:numId w:val="2"/>
        </w:numPr>
        <w:rPr>
          <w:b/>
        </w:rPr>
      </w:pPr>
      <w:r>
        <w:rPr>
          <w:rStyle w:val="Hyperlink"/>
          <w:b/>
          <w:color w:val="auto"/>
          <w:u w:val="none"/>
        </w:rPr>
        <w:t>Global Security Requirements</w:t>
      </w:r>
      <w:r>
        <w:rPr>
          <w:b/>
        </w:rPr>
        <w:t xml:space="preserve"> </w:t>
      </w:r>
      <w:r w:rsidR="00083732" w:rsidRPr="0082660E">
        <w:rPr>
          <w:bCs/>
        </w:rPr>
        <w:t xml:space="preserve">(AVCDL </w:t>
      </w:r>
      <w:r w:rsidR="00083732">
        <w:rPr>
          <w:bCs/>
        </w:rPr>
        <w:t>secondary</w:t>
      </w:r>
      <w:r w:rsidR="00083732" w:rsidRPr="0082660E">
        <w:rPr>
          <w:bCs/>
        </w:rPr>
        <w:t xml:space="preserve"> document)</w:t>
      </w:r>
    </w:p>
    <w:p w14:paraId="7299AB8C" w14:textId="7EF6C4FB" w:rsidR="00A62E75" w:rsidRPr="008E0343" w:rsidRDefault="00F01CB8" w:rsidP="0082660E">
      <w:pPr>
        <w:pStyle w:val="ListParagraph"/>
        <w:numPr>
          <w:ilvl w:val="0"/>
          <w:numId w:val="2"/>
        </w:numPr>
        <w:rPr>
          <w:rStyle w:val="Hyperlink"/>
          <w:b/>
          <w:color w:val="auto"/>
          <w:u w:val="none"/>
        </w:rPr>
      </w:pPr>
      <w:r>
        <w:rPr>
          <w:rStyle w:val="Hyperlink"/>
          <w:b/>
          <w:color w:val="auto"/>
          <w:u w:val="none"/>
        </w:rPr>
        <w:t>Security Requirements Taxonomy</w:t>
      </w:r>
      <w:r>
        <w:rPr>
          <w:b/>
        </w:rPr>
        <w:t xml:space="preserve"> </w:t>
      </w:r>
      <w:r w:rsidR="00A62E75" w:rsidRPr="00A62E75">
        <w:rPr>
          <w:rStyle w:val="Hyperlink"/>
          <w:bCs/>
          <w:color w:val="auto"/>
          <w:u w:val="none"/>
        </w:rPr>
        <w:t>(AVCDL elaboration document)</w:t>
      </w:r>
    </w:p>
    <w:p w14:paraId="2172A271" w14:textId="77777777" w:rsidR="00FE39EB" w:rsidRPr="006265EC" w:rsidRDefault="00FE39EB" w:rsidP="006265EC">
      <w:pPr>
        <w:jc w:val="both"/>
        <w:rPr>
          <w:b/>
        </w:rPr>
      </w:pPr>
    </w:p>
    <w:p w14:paraId="0000000E" w14:textId="77777777" w:rsidR="00E27AF5" w:rsidRDefault="00E27AF5"/>
    <w:p w14:paraId="0000000F" w14:textId="77777777" w:rsidR="00E27AF5" w:rsidRDefault="00E27AF5"/>
    <w:sectPr w:rsidR="00E27AF5" w:rsidSect="00325D8A">
      <w:footerReference w:type="even" r:id="rId20"/>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F3D7C" w14:textId="77777777" w:rsidR="003D1BDB" w:rsidRDefault="003D1BDB" w:rsidP="004834EE">
      <w:pPr>
        <w:spacing w:line="240" w:lineRule="auto"/>
      </w:pPr>
      <w:r>
        <w:separator/>
      </w:r>
    </w:p>
  </w:endnote>
  <w:endnote w:type="continuationSeparator" w:id="0">
    <w:p w14:paraId="3FE2993A" w14:textId="77777777" w:rsidR="003D1BDB" w:rsidRDefault="003D1BDB" w:rsidP="00483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22102093"/>
      <w:docPartObj>
        <w:docPartGallery w:val="Page Numbers (Bottom of Page)"/>
        <w:docPartUnique/>
      </w:docPartObj>
    </w:sdtPr>
    <w:sdtEndPr>
      <w:rPr>
        <w:rStyle w:val="PageNumber"/>
      </w:rPr>
    </w:sdtEndPr>
    <w:sdtContent>
      <w:p w14:paraId="0B79F028" w14:textId="50033A78" w:rsidR="004834EE" w:rsidRDefault="004834EE" w:rsidP="00325D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A55CC0" w14:textId="77777777" w:rsidR="004834EE" w:rsidRDefault="004834EE" w:rsidP="004834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77018151"/>
      <w:docPartObj>
        <w:docPartGallery w:val="Page Numbers (Bottom of Page)"/>
        <w:docPartUnique/>
      </w:docPartObj>
    </w:sdtPr>
    <w:sdtEndPr>
      <w:rPr>
        <w:rStyle w:val="PageNumber"/>
      </w:rPr>
    </w:sdtEndPr>
    <w:sdtContent>
      <w:p w14:paraId="4EC99C88" w14:textId="67EAE81D" w:rsidR="004834EE" w:rsidRDefault="004834EE" w:rsidP="00325D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FF8427" w14:textId="77777777" w:rsidR="004834EE" w:rsidRDefault="004834EE" w:rsidP="004834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E0FE26" w14:textId="77777777" w:rsidR="003D1BDB" w:rsidRDefault="003D1BDB" w:rsidP="004834EE">
      <w:pPr>
        <w:spacing w:line="240" w:lineRule="auto"/>
      </w:pPr>
      <w:r>
        <w:separator/>
      </w:r>
    </w:p>
  </w:footnote>
  <w:footnote w:type="continuationSeparator" w:id="0">
    <w:p w14:paraId="198EA326" w14:textId="77777777" w:rsidR="003D1BDB" w:rsidRDefault="003D1BDB" w:rsidP="004834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815EA"/>
    <w:multiLevelType w:val="multilevel"/>
    <w:tmpl w:val="D1FC5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E51BF0"/>
    <w:multiLevelType w:val="hybridMultilevel"/>
    <w:tmpl w:val="E32A7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F5736"/>
    <w:multiLevelType w:val="hybridMultilevel"/>
    <w:tmpl w:val="DE28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D27A3B"/>
    <w:multiLevelType w:val="hybridMultilevel"/>
    <w:tmpl w:val="FA7621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2564101"/>
    <w:multiLevelType w:val="hybridMultilevel"/>
    <w:tmpl w:val="F488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2B0D07"/>
    <w:multiLevelType w:val="hybridMultilevel"/>
    <w:tmpl w:val="D282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525342"/>
    <w:multiLevelType w:val="hybridMultilevel"/>
    <w:tmpl w:val="8242A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C08FA"/>
    <w:multiLevelType w:val="hybridMultilevel"/>
    <w:tmpl w:val="013CA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5B22C7"/>
    <w:multiLevelType w:val="hybridMultilevel"/>
    <w:tmpl w:val="D664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FF2F4D"/>
    <w:multiLevelType w:val="hybridMultilevel"/>
    <w:tmpl w:val="C5BEA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806459"/>
    <w:multiLevelType w:val="hybridMultilevel"/>
    <w:tmpl w:val="D3527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F37D63"/>
    <w:multiLevelType w:val="hybridMultilevel"/>
    <w:tmpl w:val="3A0E9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7402D9"/>
    <w:multiLevelType w:val="hybridMultilevel"/>
    <w:tmpl w:val="F782D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7"/>
  </w:num>
  <w:num w:numId="6">
    <w:abstractNumId w:val="6"/>
  </w:num>
  <w:num w:numId="7">
    <w:abstractNumId w:val="11"/>
  </w:num>
  <w:num w:numId="8">
    <w:abstractNumId w:val="9"/>
  </w:num>
  <w:num w:numId="9">
    <w:abstractNumId w:val="2"/>
  </w:num>
  <w:num w:numId="10">
    <w:abstractNumId w:val="8"/>
  </w:num>
  <w:num w:numId="11">
    <w:abstractNumId w:val="12"/>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AF5"/>
    <w:rsid w:val="00007B2C"/>
    <w:rsid w:val="00015827"/>
    <w:rsid w:val="00032736"/>
    <w:rsid w:val="0005191B"/>
    <w:rsid w:val="00060EB8"/>
    <w:rsid w:val="000672FA"/>
    <w:rsid w:val="00075464"/>
    <w:rsid w:val="00083732"/>
    <w:rsid w:val="000947F6"/>
    <w:rsid w:val="00094DFA"/>
    <w:rsid w:val="000A4939"/>
    <w:rsid w:val="000E70FC"/>
    <w:rsid w:val="001024DC"/>
    <w:rsid w:val="001042A1"/>
    <w:rsid w:val="00115BDF"/>
    <w:rsid w:val="00120958"/>
    <w:rsid w:val="00122EB1"/>
    <w:rsid w:val="00152F71"/>
    <w:rsid w:val="001741D1"/>
    <w:rsid w:val="00192E6C"/>
    <w:rsid w:val="001973EC"/>
    <w:rsid w:val="0019741F"/>
    <w:rsid w:val="001A4BC2"/>
    <w:rsid w:val="001E48E6"/>
    <w:rsid w:val="0020480C"/>
    <w:rsid w:val="00206788"/>
    <w:rsid w:val="002113C3"/>
    <w:rsid w:val="00221008"/>
    <w:rsid w:val="00227706"/>
    <w:rsid w:val="00235BA7"/>
    <w:rsid w:val="00240F3B"/>
    <w:rsid w:val="00244108"/>
    <w:rsid w:val="002443C4"/>
    <w:rsid w:val="00251E91"/>
    <w:rsid w:val="002555F6"/>
    <w:rsid w:val="002A3B29"/>
    <w:rsid w:val="002B6F2D"/>
    <w:rsid w:val="002D2FF8"/>
    <w:rsid w:val="00305E1A"/>
    <w:rsid w:val="00325D8A"/>
    <w:rsid w:val="0033614A"/>
    <w:rsid w:val="00374FCB"/>
    <w:rsid w:val="003B1797"/>
    <w:rsid w:val="003C0AE3"/>
    <w:rsid w:val="003C33A8"/>
    <w:rsid w:val="003C37B0"/>
    <w:rsid w:val="003C7C53"/>
    <w:rsid w:val="003D1BDB"/>
    <w:rsid w:val="003E03AD"/>
    <w:rsid w:val="003E1867"/>
    <w:rsid w:val="003E4F94"/>
    <w:rsid w:val="00427D60"/>
    <w:rsid w:val="00453DD6"/>
    <w:rsid w:val="00462E8E"/>
    <w:rsid w:val="00470DF3"/>
    <w:rsid w:val="00482B12"/>
    <w:rsid w:val="004834EE"/>
    <w:rsid w:val="0048660E"/>
    <w:rsid w:val="004C0547"/>
    <w:rsid w:val="004D0578"/>
    <w:rsid w:val="004E1900"/>
    <w:rsid w:val="004F43AA"/>
    <w:rsid w:val="005076FE"/>
    <w:rsid w:val="005547AF"/>
    <w:rsid w:val="0057743A"/>
    <w:rsid w:val="005801D5"/>
    <w:rsid w:val="005905AC"/>
    <w:rsid w:val="00595DF0"/>
    <w:rsid w:val="005A04DA"/>
    <w:rsid w:val="005D1D65"/>
    <w:rsid w:val="005E4439"/>
    <w:rsid w:val="00605CEA"/>
    <w:rsid w:val="00622B9C"/>
    <w:rsid w:val="006265EC"/>
    <w:rsid w:val="0064446E"/>
    <w:rsid w:val="006507F3"/>
    <w:rsid w:val="00683629"/>
    <w:rsid w:val="006849E2"/>
    <w:rsid w:val="00684E9F"/>
    <w:rsid w:val="0069559F"/>
    <w:rsid w:val="006A11C9"/>
    <w:rsid w:val="006A37CC"/>
    <w:rsid w:val="006D7E56"/>
    <w:rsid w:val="006E2C4F"/>
    <w:rsid w:val="006E789A"/>
    <w:rsid w:val="006F5DE3"/>
    <w:rsid w:val="00712012"/>
    <w:rsid w:val="007138DC"/>
    <w:rsid w:val="007347F1"/>
    <w:rsid w:val="007368AC"/>
    <w:rsid w:val="00737DA4"/>
    <w:rsid w:val="00756C86"/>
    <w:rsid w:val="0078185F"/>
    <w:rsid w:val="00785C72"/>
    <w:rsid w:val="007B0B5F"/>
    <w:rsid w:val="007B76A8"/>
    <w:rsid w:val="007C29B5"/>
    <w:rsid w:val="007C5B49"/>
    <w:rsid w:val="007D4434"/>
    <w:rsid w:val="007F7835"/>
    <w:rsid w:val="008062F6"/>
    <w:rsid w:val="00807590"/>
    <w:rsid w:val="00813122"/>
    <w:rsid w:val="0082031D"/>
    <w:rsid w:val="0082660E"/>
    <w:rsid w:val="0083587E"/>
    <w:rsid w:val="00842F75"/>
    <w:rsid w:val="00851E15"/>
    <w:rsid w:val="00860108"/>
    <w:rsid w:val="0088387F"/>
    <w:rsid w:val="008A483D"/>
    <w:rsid w:val="008C1D59"/>
    <w:rsid w:val="008E0343"/>
    <w:rsid w:val="008E3A2F"/>
    <w:rsid w:val="008E62FA"/>
    <w:rsid w:val="008F7552"/>
    <w:rsid w:val="00900BB4"/>
    <w:rsid w:val="00924D8E"/>
    <w:rsid w:val="0094320E"/>
    <w:rsid w:val="0094576C"/>
    <w:rsid w:val="00950C33"/>
    <w:rsid w:val="00957724"/>
    <w:rsid w:val="009753BC"/>
    <w:rsid w:val="009A73AC"/>
    <w:rsid w:val="009B1F82"/>
    <w:rsid w:val="009D17CB"/>
    <w:rsid w:val="009D3D6B"/>
    <w:rsid w:val="009E3750"/>
    <w:rsid w:val="009E508B"/>
    <w:rsid w:val="00A25950"/>
    <w:rsid w:val="00A62E75"/>
    <w:rsid w:val="00A72917"/>
    <w:rsid w:val="00A81A7A"/>
    <w:rsid w:val="00A84993"/>
    <w:rsid w:val="00AA559B"/>
    <w:rsid w:val="00AB5FEA"/>
    <w:rsid w:val="00AC1576"/>
    <w:rsid w:val="00AD2331"/>
    <w:rsid w:val="00AD2EE6"/>
    <w:rsid w:val="00AF07C1"/>
    <w:rsid w:val="00B023DF"/>
    <w:rsid w:val="00B46F10"/>
    <w:rsid w:val="00B667CA"/>
    <w:rsid w:val="00B67DC8"/>
    <w:rsid w:val="00B84743"/>
    <w:rsid w:val="00B96C1B"/>
    <w:rsid w:val="00BA08AE"/>
    <w:rsid w:val="00BC080B"/>
    <w:rsid w:val="00BD1980"/>
    <w:rsid w:val="00BD2EA3"/>
    <w:rsid w:val="00BF3712"/>
    <w:rsid w:val="00C12DAA"/>
    <w:rsid w:val="00C31187"/>
    <w:rsid w:val="00C50F32"/>
    <w:rsid w:val="00C53756"/>
    <w:rsid w:val="00C609E3"/>
    <w:rsid w:val="00C7240A"/>
    <w:rsid w:val="00CB214F"/>
    <w:rsid w:val="00CB28CE"/>
    <w:rsid w:val="00CC792C"/>
    <w:rsid w:val="00CD7BE2"/>
    <w:rsid w:val="00D16669"/>
    <w:rsid w:val="00D20579"/>
    <w:rsid w:val="00D34941"/>
    <w:rsid w:val="00D46690"/>
    <w:rsid w:val="00D62C0A"/>
    <w:rsid w:val="00D70472"/>
    <w:rsid w:val="00D7289D"/>
    <w:rsid w:val="00D729F4"/>
    <w:rsid w:val="00D83189"/>
    <w:rsid w:val="00D9277F"/>
    <w:rsid w:val="00DA3E37"/>
    <w:rsid w:val="00DC1005"/>
    <w:rsid w:val="00DD1AF3"/>
    <w:rsid w:val="00DD5A2E"/>
    <w:rsid w:val="00E05458"/>
    <w:rsid w:val="00E11AC0"/>
    <w:rsid w:val="00E228B5"/>
    <w:rsid w:val="00E27AF5"/>
    <w:rsid w:val="00E53676"/>
    <w:rsid w:val="00EC5C05"/>
    <w:rsid w:val="00EF7A65"/>
    <w:rsid w:val="00F01CB8"/>
    <w:rsid w:val="00F13E10"/>
    <w:rsid w:val="00F26200"/>
    <w:rsid w:val="00F41FE5"/>
    <w:rsid w:val="00F5581C"/>
    <w:rsid w:val="00F62B82"/>
    <w:rsid w:val="00F630CF"/>
    <w:rsid w:val="00FB58DF"/>
    <w:rsid w:val="00FB73E1"/>
    <w:rsid w:val="00FC2D93"/>
    <w:rsid w:val="00FE39EB"/>
    <w:rsid w:val="00FF40B2"/>
    <w:rsid w:val="00FF4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FC07"/>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075464"/>
    <w:rPr>
      <w:sz w:val="40"/>
      <w:szCs w:val="40"/>
    </w:rPr>
  </w:style>
  <w:style w:type="paragraph" w:styleId="ListParagraph">
    <w:name w:val="List Paragraph"/>
    <w:basedOn w:val="Normal"/>
    <w:uiPriority w:val="34"/>
    <w:qFormat/>
    <w:rsid w:val="00075464"/>
    <w:pPr>
      <w:ind w:left="720"/>
      <w:contextualSpacing/>
    </w:pPr>
  </w:style>
  <w:style w:type="character" w:styleId="Hyperlink">
    <w:name w:val="Hyperlink"/>
    <w:basedOn w:val="DefaultParagraphFont"/>
    <w:uiPriority w:val="99"/>
    <w:unhideWhenUsed/>
    <w:rsid w:val="00075464"/>
    <w:rPr>
      <w:color w:val="0000FF" w:themeColor="hyperlink"/>
      <w:u w:val="single"/>
    </w:rPr>
  </w:style>
  <w:style w:type="character" w:styleId="UnresolvedMention">
    <w:name w:val="Unresolved Mention"/>
    <w:basedOn w:val="DefaultParagraphFont"/>
    <w:uiPriority w:val="99"/>
    <w:semiHidden/>
    <w:unhideWhenUsed/>
    <w:rsid w:val="00075464"/>
    <w:rPr>
      <w:color w:val="605E5C"/>
      <w:shd w:val="clear" w:color="auto" w:fill="E1DFDD"/>
    </w:rPr>
  </w:style>
  <w:style w:type="character" w:styleId="FollowedHyperlink">
    <w:name w:val="FollowedHyperlink"/>
    <w:basedOn w:val="DefaultParagraphFont"/>
    <w:uiPriority w:val="99"/>
    <w:semiHidden/>
    <w:unhideWhenUsed/>
    <w:rsid w:val="00152F71"/>
    <w:rPr>
      <w:color w:val="800080" w:themeColor="followedHyperlink"/>
      <w:u w:val="single"/>
    </w:rPr>
  </w:style>
  <w:style w:type="paragraph" w:styleId="BalloonText">
    <w:name w:val="Balloon Text"/>
    <w:basedOn w:val="Normal"/>
    <w:link w:val="BalloonTextChar"/>
    <w:uiPriority w:val="99"/>
    <w:semiHidden/>
    <w:unhideWhenUsed/>
    <w:rsid w:val="00FE39E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39EB"/>
    <w:rPr>
      <w:rFonts w:ascii="Times New Roman" w:hAnsi="Times New Roman" w:cs="Times New Roman"/>
      <w:sz w:val="18"/>
      <w:szCs w:val="18"/>
    </w:rPr>
  </w:style>
  <w:style w:type="paragraph" w:styleId="Caption">
    <w:name w:val="caption"/>
    <w:basedOn w:val="Normal"/>
    <w:next w:val="Normal"/>
    <w:uiPriority w:val="35"/>
    <w:unhideWhenUsed/>
    <w:qFormat/>
    <w:rsid w:val="00221008"/>
    <w:pPr>
      <w:spacing w:after="200" w:line="240" w:lineRule="auto"/>
    </w:pPr>
    <w:rPr>
      <w:i/>
      <w:iCs/>
      <w:color w:val="1F497D" w:themeColor="text2"/>
      <w:sz w:val="18"/>
      <w:szCs w:val="18"/>
    </w:rPr>
  </w:style>
  <w:style w:type="paragraph" w:styleId="Header">
    <w:name w:val="header"/>
    <w:basedOn w:val="Normal"/>
    <w:link w:val="HeaderChar"/>
    <w:uiPriority w:val="99"/>
    <w:unhideWhenUsed/>
    <w:rsid w:val="004834EE"/>
    <w:pPr>
      <w:tabs>
        <w:tab w:val="center" w:pos="4680"/>
        <w:tab w:val="right" w:pos="9360"/>
      </w:tabs>
      <w:spacing w:line="240" w:lineRule="auto"/>
    </w:pPr>
  </w:style>
  <w:style w:type="character" w:customStyle="1" w:styleId="HeaderChar">
    <w:name w:val="Header Char"/>
    <w:basedOn w:val="DefaultParagraphFont"/>
    <w:link w:val="Header"/>
    <w:uiPriority w:val="99"/>
    <w:rsid w:val="004834EE"/>
  </w:style>
  <w:style w:type="paragraph" w:styleId="Footer">
    <w:name w:val="footer"/>
    <w:basedOn w:val="Normal"/>
    <w:link w:val="FooterChar"/>
    <w:uiPriority w:val="99"/>
    <w:unhideWhenUsed/>
    <w:rsid w:val="004834EE"/>
    <w:pPr>
      <w:tabs>
        <w:tab w:val="center" w:pos="4680"/>
        <w:tab w:val="right" w:pos="9360"/>
      </w:tabs>
      <w:spacing w:line="240" w:lineRule="auto"/>
    </w:pPr>
  </w:style>
  <w:style w:type="character" w:customStyle="1" w:styleId="FooterChar">
    <w:name w:val="Footer Char"/>
    <w:basedOn w:val="DefaultParagraphFont"/>
    <w:link w:val="Footer"/>
    <w:uiPriority w:val="99"/>
    <w:rsid w:val="004834EE"/>
  </w:style>
  <w:style w:type="character" w:styleId="PageNumber">
    <w:name w:val="page number"/>
    <w:basedOn w:val="DefaultParagraphFont"/>
    <w:uiPriority w:val="99"/>
    <w:semiHidden/>
    <w:unhideWhenUsed/>
    <w:rsid w:val="004834EE"/>
  </w:style>
  <w:style w:type="paragraph" w:customStyle="1" w:styleId="FirstParagraph">
    <w:name w:val="First Paragraph"/>
    <w:basedOn w:val="BodyText"/>
    <w:next w:val="BodyText"/>
    <w:qFormat/>
    <w:rsid w:val="00807590"/>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807590"/>
    <w:pPr>
      <w:spacing w:after="120"/>
    </w:pPr>
  </w:style>
  <w:style w:type="character" w:customStyle="1" w:styleId="BodyTextChar">
    <w:name w:val="Body Text Char"/>
    <w:basedOn w:val="DefaultParagraphFont"/>
    <w:link w:val="BodyText"/>
    <w:uiPriority w:val="99"/>
    <w:semiHidden/>
    <w:rsid w:val="00807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2500215">
      <w:bodyDiv w:val="1"/>
      <w:marLeft w:val="0"/>
      <w:marRight w:val="0"/>
      <w:marTop w:val="0"/>
      <w:marBottom w:val="0"/>
      <w:divBdr>
        <w:top w:val="none" w:sz="0" w:space="0" w:color="auto"/>
        <w:left w:val="none" w:sz="0" w:space="0" w:color="auto"/>
        <w:bottom w:val="none" w:sz="0" w:space="0" w:color="auto"/>
        <w:right w:val="none" w:sz="0" w:space="0" w:color="auto"/>
      </w:divBdr>
    </w:div>
    <w:div w:id="2138182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BEB5D-387C-1A40-83C1-CFEBB3F56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14</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Understanding TARA in an AVCDL Context</vt:lpstr>
    </vt:vector>
  </TitlesOfParts>
  <Manager/>
  <Company>Motional</Company>
  <LinksUpToDate>false</LinksUpToDate>
  <CharactersWithSpaces>8196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TARA in an AVCDL Context</dc:title>
  <dc:subject>TARA</dc:subject>
  <dc:creator>Charles Wilson</dc:creator>
  <cp:keywords/>
  <dc:description>This work was created by Motional and is licensed under the Creative Commons Attribution-Share Alike (CC BY-SA-4.0) License.
https://creativecommons.org/licenses/by/4.0/legalcode
</dc:description>
  <cp:lastModifiedBy>Wilson, Charles</cp:lastModifiedBy>
  <cp:revision>9</cp:revision>
  <dcterms:created xsi:type="dcterms:W3CDTF">2022-03-17T16:55:00Z</dcterms:created>
  <dcterms:modified xsi:type="dcterms:W3CDTF">2022-03-28T17:19:00Z</dcterms:modified>
  <cp:category/>
</cp:coreProperties>
</file>