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78BF" w14:textId="66C3D394" w:rsidR="003760F0" w:rsidRDefault="0014111E" w:rsidP="00676679">
      <w:pPr>
        <w:pStyle w:val="Heading1"/>
        <w:jc w:val="center"/>
        <w:rPr>
          <w:sz w:val="52"/>
          <w:szCs w:val="52"/>
        </w:rPr>
      </w:pPr>
      <w:r w:rsidRPr="0014111E">
        <w:rPr>
          <w:sz w:val="52"/>
          <w:szCs w:val="52"/>
        </w:rPr>
        <w:t>Understanding Verification and Validation in an AVCDL Context</w:t>
      </w:r>
    </w:p>
    <w:p w14:paraId="578FE19B" w14:textId="4874E052" w:rsidR="00075464" w:rsidRDefault="00B46F10" w:rsidP="00075464">
      <w:pPr>
        <w:pStyle w:val="Heading1"/>
      </w:pPr>
      <w:r>
        <w:t>Revision</w:t>
      </w:r>
    </w:p>
    <w:p w14:paraId="06ECF040" w14:textId="30841357" w:rsidR="00807590" w:rsidRPr="00807590" w:rsidRDefault="00807590" w:rsidP="00807590">
      <w:r>
        <w:t xml:space="preserve">Version </w:t>
      </w:r>
      <w:r w:rsidR="00CE5ED7">
        <w:t>2</w:t>
      </w:r>
    </w:p>
    <w:p w14:paraId="45CEE66D" w14:textId="41783B46" w:rsidR="00075464" w:rsidRDefault="00075464" w:rsidP="00075464">
      <w:pPr>
        <w:jc w:val="both"/>
      </w:pPr>
      <w:r>
        <w:fldChar w:fldCharType="begin"/>
      </w:r>
      <w:r>
        <w:instrText xml:space="preserve"> DATE \@ "M/d/yy h:mm am/pm" </w:instrText>
      </w:r>
      <w:r>
        <w:fldChar w:fldCharType="separate"/>
      </w:r>
      <w:r w:rsidR="00B16293">
        <w:rPr>
          <w:noProof/>
        </w:rPr>
        <w:t>8/8/22 2:31 PM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1DAFF5F2" w:rsidR="00E27AF5" w:rsidRDefault="003760F0">
      <w:pPr>
        <w:jc w:val="both"/>
      </w:pPr>
      <w:r>
        <w:t xml:space="preserve">This document describes how </w:t>
      </w:r>
      <w:r w:rsidR="00710D5D">
        <w:t>verification and validation</w:t>
      </w:r>
      <w:r w:rsidR="00D96D71">
        <w:t xml:space="preserve"> as defined in </w:t>
      </w:r>
      <w:r w:rsidR="00711BE6" w:rsidRPr="00711BE6">
        <w:rPr>
          <w:b/>
          <w:bCs/>
        </w:rPr>
        <w:t>ISO 9000</w:t>
      </w:r>
      <w:r w:rsidR="00711BE6">
        <w:rPr>
          <w:b/>
          <w:bCs/>
        </w:rPr>
        <w:t xml:space="preserve"> </w:t>
      </w:r>
      <w:r w:rsidR="00710D5D">
        <w:t>relate to the structure of</w:t>
      </w:r>
      <w:r>
        <w:t xml:space="preserve"> the </w:t>
      </w:r>
      <w:r w:rsidRPr="00851E15">
        <w:rPr>
          <w:b/>
          <w:bCs/>
        </w:rPr>
        <w:t>AVCDL</w:t>
      </w:r>
      <w:r w:rsidR="008C1D59">
        <w:t>.</w:t>
      </w:r>
    </w:p>
    <w:p w14:paraId="05608880" w14:textId="4600A93D" w:rsidR="009A73AC" w:rsidRDefault="009A73AC" w:rsidP="009A73AC">
      <w:pPr>
        <w:pStyle w:val="Heading1"/>
      </w:pPr>
      <w:bookmarkStart w:id="0" w:name="_54bgemmh6zb8" w:colFirst="0" w:colLast="0"/>
      <w:bookmarkStart w:id="1" w:name="_olcs7d4b90ea" w:colFirst="0" w:colLast="0"/>
      <w:bookmarkStart w:id="2" w:name="_f5diy2ktdyyf" w:colFirst="0" w:colLast="0"/>
      <w:bookmarkStart w:id="3" w:name="_ka2wojif16d2" w:colFirst="0" w:colLast="0"/>
      <w:bookmarkEnd w:id="0"/>
      <w:bookmarkEnd w:id="1"/>
      <w:bookmarkEnd w:id="2"/>
      <w:bookmarkEnd w:id="3"/>
      <w:r>
        <w:t>Audience</w:t>
      </w:r>
    </w:p>
    <w:p w14:paraId="63615BE2" w14:textId="2BCC17C5" w:rsidR="009A73AC" w:rsidRDefault="009A73AC" w:rsidP="00470DF3">
      <w:pPr>
        <w:spacing w:after="240"/>
        <w:jc w:val="both"/>
      </w:pPr>
      <w:r>
        <w:t xml:space="preserve">The audience of this document are the cybersecurity development lifecycle practice leads who will be guiding </w:t>
      </w:r>
      <w:r w:rsidRPr="003B1797">
        <w:rPr>
          <w:b/>
          <w:bCs/>
        </w:rPr>
        <w:t>AVCDL</w:t>
      </w:r>
      <w:r>
        <w:t xml:space="preserve"> adoption within their organization.</w:t>
      </w:r>
    </w:p>
    <w:p w14:paraId="02DCA0E3" w14:textId="02940A34" w:rsidR="00DD5A2E" w:rsidRDefault="00DD5A2E" w:rsidP="00DD5A2E">
      <w:pPr>
        <w:ind w:left="720" w:hanging="720"/>
        <w:jc w:val="both"/>
      </w:pPr>
      <w:r w:rsidRPr="009A73AC">
        <w:rPr>
          <w:b/>
          <w:bCs/>
          <w:color w:val="0070C0"/>
        </w:rPr>
        <w:t>Note:</w:t>
      </w:r>
      <w:r>
        <w:tab/>
        <w:t xml:space="preserve">This document </w:t>
      </w:r>
      <w:r w:rsidR="003C7C53">
        <w:t>is not subject to certification body review</w:t>
      </w:r>
      <w:r>
        <w:t>.</w:t>
      </w:r>
    </w:p>
    <w:p w14:paraId="6E7B7A50" w14:textId="77777777" w:rsidR="00807590" w:rsidRDefault="00807590" w:rsidP="00807590">
      <w:pPr>
        <w:pStyle w:val="Heading1"/>
        <w:jc w:val="both"/>
      </w:pPr>
      <w:r>
        <w:t>License</w:t>
      </w:r>
    </w:p>
    <w:p w14:paraId="12103DCF" w14:textId="514D3B2E" w:rsidR="00807590" w:rsidRDefault="00807590" w:rsidP="0080759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40F3B">
        <w:rPr>
          <w:b/>
          <w:bCs/>
          <w:lang w:val="en-US"/>
        </w:rPr>
        <w:t xml:space="preserve"> BY</w:t>
      </w:r>
      <w:r w:rsidRPr="00144DE6">
        <w:rPr>
          <w:b/>
          <w:bCs/>
          <w:lang w:val="en-US"/>
        </w:rPr>
        <w:t>-SA</w:t>
      </w:r>
      <w:r w:rsidR="00240F3B">
        <w:rPr>
          <w:b/>
          <w:bCs/>
          <w:lang w:val="en-US"/>
        </w:rPr>
        <w:t>-4.0</w:t>
      </w:r>
      <w:r w:rsidRPr="00144DE6">
        <w:rPr>
          <w:b/>
          <w:bCs/>
          <w:lang w:val="en-US"/>
        </w:rPr>
        <w:t>)</w:t>
      </w:r>
      <w:r w:rsidRPr="00144DE6">
        <w:rPr>
          <w:lang w:val="en-US"/>
        </w:rPr>
        <w:t xml:space="preserve"> License</w:t>
      </w:r>
      <w:r w:rsidRPr="00533832">
        <w:t>.</w:t>
      </w:r>
    </w:p>
    <w:p w14:paraId="141FF3A9" w14:textId="77777777" w:rsidR="00807590" w:rsidRDefault="00000000" w:rsidP="00807590">
      <w:pPr>
        <w:pStyle w:val="FirstParagraph"/>
        <w:jc w:val="both"/>
      </w:pPr>
      <w:hyperlink r:id="rId8" w:history="1">
        <w:r w:rsidR="00807590" w:rsidRPr="00FE6B19">
          <w:rPr>
            <w:rStyle w:val="Hyperlink"/>
            <w:rFonts w:ascii="Courier New" w:hAnsi="Courier New" w:cs="Courier New"/>
            <w:b/>
            <w:bCs/>
          </w:rPr>
          <w:t>https://creativecommons.org/licenses/by/4.0/legalcode</w:t>
        </w:r>
      </w:hyperlink>
    </w:p>
    <w:p w14:paraId="174317E8" w14:textId="77777777" w:rsidR="009D17CB" w:rsidRDefault="009D17CB">
      <w:pPr>
        <w:rPr>
          <w:sz w:val="40"/>
          <w:szCs w:val="40"/>
        </w:rPr>
      </w:pPr>
      <w:r>
        <w:br w:type="page"/>
      </w:r>
    </w:p>
    <w:p w14:paraId="2922222F" w14:textId="77777777" w:rsidR="00007B2C" w:rsidRDefault="00007B2C" w:rsidP="00007B2C">
      <w:pPr>
        <w:pStyle w:val="Heading1"/>
      </w:pPr>
      <w:r>
        <w:lastRenderedPageBreak/>
        <w:t>Overview</w:t>
      </w:r>
    </w:p>
    <w:p w14:paraId="2EAD1CB1" w14:textId="7C142B10" w:rsidR="00470DF3" w:rsidRDefault="00B54894" w:rsidP="003B1797">
      <w:pPr>
        <w:spacing w:after="240"/>
        <w:jc w:val="both"/>
      </w:pPr>
      <w:r>
        <w:t>T</w:t>
      </w:r>
      <w:r w:rsidR="001B07A4">
        <w:t xml:space="preserve">he </w:t>
      </w:r>
      <w:r w:rsidR="001B07A4" w:rsidRPr="001B07A4">
        <w:rPr>
          <w:b/>
          <w:bCs/>
        </w:rPr>
        <w:t>AVCDL</w:t>
      </w:r>
      <w:r w:rsidR="001B07A4">
        <w:t xml:space="preserve"> </w:t>
      </w:r>
      <w:r w:rsidR="001B07A4" w:rsidRPr="001B07A4">
        <w:rPr>
          <w:b/>
          <w:bCs/>
          <w:color w:val="0070C0"/>
          <w:vertAlign w:val="superscript"/>
        </w:rPr>
        <w:t>[1]</w:t>
      </w:r>
      <w:r w:rsidR="001B07A4">
        <w:t xml:space="preserve"> </w:t>
      </w:r>
      <w:r>
        <w:t>provides a lifecycle with the goal of ensuring the cybersecurity of a safety-critical, cyber-physical product</w:t>
      </w:r>
      <w:r w:rsidR="0067035E">
        <w:t>.</w:t>
      </w:r>
      <w:r>
        <w:t xml:space="preserve"> As such, it uses the non-functional goals and requirements established by the various risk groups within the organization to bound the cybersecurity efforts. A major focus within the risk realm </w:t>
      </w:r>
      <w:r w:rsidR="00CE5ED7">
        <w:t>are</w:t>
      </w:r>
      <w:r>
        <w:t xml:space="preserve"> the technical processes of verification and validation.</w:t>
      </w:r>
      <w:r w:rsidR="00B365E7">
        <w:t xml:space="preserve"> These are heavily</w:t>
      </w:r>
      <w:r w:rsidR="005E51CD">
        <w:t xml:space="preserve"> referred to in</w:t>
      </w:r>
      <w:r w:rsidR="00CE5ED7">
        <w:t xml:space="preserve"> the</w:t>
      </w:r>
      <w:r w:rsidR="005E51CD">
        <w:t xml:space="preserve"> </w:t>
      </w:r>
      <w:r w:rsidR="005E51CD" w:rsidRPr="005E51CD">
        <w:rPr>
          <w:b/>
          <w:bCs/>
        </w:rPr>
        <w:t>ISO 26262</w:t>
      </w:r>
      <w:r w:rsidR="005E51CD">
        <w:rPr>
          <w:b/>
          <w:bCs/>
        </w:rPr>
        <w:t xml:space="preserve"> </w:t>
      </w:r>
      <w:r w:rsidR="005E51CD" w:rsidRPr="005E51CD">
        <w:rPr>
          <w:b/>
          <w:bCs/>
          <w:color w:val="0070C0"/>
          <w:vertAlign w:val="superscript"/>
        </w:rPr>
        <w:t>[2]</w:t>
      </w:r>
      <w:r w:rsidR="005E51CD">
        <w:t xml:space="preserve"> safety standard. They are defined in </w:t>
      </w:r>
      <w:r w:rsidR="00711BE6" w:rsidRPr="00711BE6">
        <w:rPr>
          <w:b/>
          <w:bCs/>
        </w:rPr>
        <w:t>ISO 9000</w:t>
      </w:r>
      <w:r w:rsidR="00711BE6">
        <w:rPr>
          <w:b/>
          <w:bCs/>
        </w:rPr>
        <w:t xml:space="preserve"> </w:t>
      </w:r>
      <w:r w:rsidR="00711BE6" w:rsidRPr="00711BE6">
        <w:rPr>
          <w:b/>
          <w:bCs/>
          <w:color w:val="0070C0"/>
          <w:vertAlign w:val="superscript"/>
        </w:rPr>
        <w:t>[3]</w:t>
      </w:r>
      <w:r w:rsidR="00711BE6">
        <w:t xml:space="preserve"> and elaborated on in </w:t>
      </w:r>
      <w:r w:rsidR="005E51CD" w:rsidRPr="005E51CD">
        <w:rPr>
          <w:b/>
          <w:bCs/>
        </w:rPr>
        <w:t xml:space="preserve">ISO/IEC/IEEE 15288 – Systems and software engineering – System life cycle processes </w:t>
      </w:r>
      <w:r w:rsidR="005E51CD" w:rsidRPr="005E51CD">
        <w:rPr>
          <w:b/>
          <w:bCs/>
          <w:color w:val="0070C0"/>
          <w:vertAlign w:val="superscript"/>
        </w:rPr>
        <w:t>[</w:t>
      </w:r>
      <w:r w:rsidR="00711BE6">
        <w:rPr>
          <w:b/>
          <w:bCs/>
          <w:color w:val="0070C0"/>
          <w:vertAlign w:val="superscript"/>
        </w:rPr>
        <w:t>4</w:t>
      </w:r>
      <w:r w:rsidR="005E51CD" w:rsidRPr="005E51CD">
        <w:rPr>
          <w:b/>
          <w:bCs/>
          <w:color w:val="0070C0"/>
          <w:vertAlign w:val="superscript"/>
        </w:rPr>
        <w:t>]</w:t>
      </w:r>
      <w:r w:rsidR="005E51CD">
        <w:t xml:space="preserve">. In this document, the relationship between these technical processes and the </w:t>
      </w:r>
      <w:r w:rsidR="005E51CD" w:rsidRPr="005E51CD">
        <w:rPr>
          <w:b/>
          <w:bCs/>
        </w:rPr>
        <w:t>AVCDL</w:t>
      </w:r>
      <w:r w:rsidR="005E51CD">
        <w:t xml:space="preserve"> will be explored.</w:t>
      </w:r>
    </w:p>
    <w:p w14:paraId="55B15400" w14:textId="1F316CC6" w:rsidR="005E51CD" w:rsidRDefault="005E51CD" w:rsidP="005E51CD">
      <w:pPr>
        <w:pStyle w:val="Heading1"/>
      </w:pPr>
      <w:bookmarkStart w:id="4" w:name="_Open_Source_Inclusion"/>
      <w:bookmarkEnd w:id="4"/>
      <w:r>
        <w:t>Definitions</w:t>
      </w:r>
    </w:p>
    <w:p w14:paraId="0EF07931" w14:textId="4DA049DD" w:rsidR="005E51CD" w:rsidRDefault="005E51CD" w:rsidP="005E51CD">
      <w:pPr>
        <w:spacing w:after="240"/>
        <w:jc w:val="both"/>
      </w:pPr>
      <w:r>
        <w:t xml:space="preserve">It’s important to have a baseline for discussing verification and validation. </w:t>
      </w:r>
      <w:r w:rsidR="00CE5ED7" w:rsidRPr="00CE5ED7">
        <w:rPr>
          <w:b/>
          <w:bCs/>
        </w:rPr>
        <w:t>ISO 9000</w:t>
      </w:r>
      <w:r w:rsidR="00CE5ED7">
        <w:t xml:space="preserve"> and </w:t>
      </w:r>
      <w:r w:rsidRPr="00CE5ED7">
        <w:rPr>
          <w:b/>
          <w:bCs/>
        </w:rPr>
        <w:t>ISO/IEC/IEEE 15288</w:t>
      </w:r>
      <w:r>
        <w:t xml:space="preserve"> define them as follows:</w:t>
      </w:r>
    </w:p>
    <w:p w14:paraId="20F5C0D1" w14:textId="72772E11" w:rsidR="005E51CD" w:rsidRDefault="005E51CD" w:rsidP="00711BE6">
      <w:pPr>
        <w:pStyle w:val="Heading2"/>
      </w:pPr>
      <w:r>
        <w:t>Verification</w:t>
      </w:r>
    </w:p>
    <w:p w14:paraId="1769002D" w14:textId="72574A36" w:rsidR="00711BE6" w:rsidRDefault="00711BE6" w:rsidP="00711BE6">
      <w:pPr>
        <w:spacing w:after="240"/>
        <w:ind w:left="1170" w:hanging="1170"/>
        <w:jc w:val="both"/>
        <w:rPr>
          <w:i/>
          <w:iCs/>
        </w:rPr>
      </w:pPr>
      <w:r w:rsidRPr="00711BE6">
        <w:rPr>
          <w:b/>
          <w:bCs/>
        </w:rPr>
        <w:t>ISO</w:t>
      </w:r>
      <w:r>
        <w:rPr>
          <w:b/>
          <w:bCs/>
        </w:rPr>
        <w:t xml:space="preserve"> 9000</w:t>
      </w:r>
      <w:r w:rsidRPr="00711BE6">
        <w:rPr>
          <w:b/>
          <w:bCs/>
        </w:rPr>
        <w:t xml:space="preserve"> – </w:t>
      </w:r>
      <w:r w:rsidRPr="00711BE6">
        <w:rPr>
          <w:i/>
          <w:iCs/>
        </w:rPr>
        <w:t>confirmation, through the provision of objective evidence, that specified requirements have been fulfilled</w:t>
      </w:r>
    </w:p>
    <w:p w14:paraId="00024B82" w14:textId="14A51CC9" w:rsidR="00711BE6" w:rsidRDefault="00711BE6" w:rsidP="00711BE6">
      <w:pPr>
        <w:pStyle w:val="Heading2"/>
        <w:spacing w:before="0"/>
        <w:rPr>
          <w:sz w:val="22"/>
          <w:szCs w:val="22"/>
        </w:rPr>
      </w:pPr>
      <w:r w:rsidRPr="00711BE6">
        <w:rPr>
          <w:b/>
          <w:bCs/>
          <w:sz w:val="22"/>
          <w:szCs w:val="22"/>
        </w:rPr>
        <w:t xml:space="preserve">ISO/IEC/IEEE 15288 – </w:t>
      </w:r>
      <w:r w:rsidRPr="00423248">
        <w:rPr>
          <w:i/>
          <w:iCs/>
          <w:sz w:val="22"/>
          <w:szCs w:val="22"/>
        </w:rPr>
        <w:t>The system was built right.</w:t>
      </w:r>
    </w:p>
    <w:p w14:paraId="6891BCF7" w14:textId="4CDAC69D" w:rsidR="005E51CD" w:rsidRDefault="005E51CD" w:rsidP="00711BE6">
      <w:pPr>
        <w:pStyle w:val="Heading2"/>
      </w:pPr>
      <w:r>
        <w:t>Validation</w:t>
      </w:r>
    </w:p>
    <w:p w14:paraId="724AF92D" w14:textId="036FE0E4" w:rsidR="00711BE6" w:rsidRPr="00711BE6" w:rsidRDefault="00711BE6" w:rsidP="00711BE6">
      <w:pPr>
        <w:spacing w:after="240"/>
        <w:ind w:left="1170" w:hanging="1170"/>
        <w:jc w:val="both"/>
        <w:rPr>
          <w:i/>
          <w:iCs/>
        </w:rPr>
      </w:pPr>
      <w:r w:rsidRPr="00711BE6">
        <w:rPr>
          <w:b/>
          <w:bCs/>
        </w:rPr>
        <w:t>ISO</w:t>
      </w:r>
      <w:r>
        <w:rPr>
          <w:b/>
          <w:bCs/>
        </w:rPr>
        <w:t xml:space="preserve"> 9000</w:t>
      </w:r>
      <w:r w:rsidRPr="00711BE6">
        <w:rPr>
          <w:b/>
          <w:bCs/>
        </w:rPr>
        <w:t xml:space="preserve"> – </w:t>
      </w:r>
      <w:r w:rsidRPr="00711BE6">
        <w:rPr>
          <w:i/>
          <w:iCs/>
        </w:rPr>
        <w:t>confirmation, through the provision of objective evidence, that the requirements for a specific intended use or application have been fulfilled</w:t>
      </w:r>
    </w:p>
    <w:p w14:paraId="2DBF6384" w14:textId="1EA47431" w:rsidR="005E51CD" w:rsidRDefault="00711BE6" w:rsidP="005E51CD">
      <w:pPr>
        <w:spacing w:after="240"/>
        <w:jc w:val="both"/>
      </w:pPr>
      <w:r w:rsidRPr="00711BE6">
        <w:rPr>
          <w:b/>
          <w:bCs/>
        </w:rPr>
        <w:t xml:space="preserve">ISO/IEC/IEEE 15288 – </w:t>
      </w:r>
      <w:r w:rsidRPr="00423248">
        <w:rPr>
          <w:i/>
          <w:iCs/>
        </w:rPr>
        <w:t>The right system was built.</w:t>
      </w:r>
    </w:p>
    <w:p w14:paraId="2E737745" w14:textId="69293E26" w:rsidR="007250FF" w:rsidRDefault="007250FF" w:rsidP="007250FF">
      <w:pPr>
        <w:spacing w:after="240"/>
        <w:ind w:left="720" w:hanging="720"/>
        <w:jc w:val="both"/>
      </w:pPr>
      <w:r w:rsidRPr="00D729F4">
        <w:rPr>
          <w:b/>
          <w:bCs/>
          <w:color w:val="0070C0"/>
        </w:rPr>
        <w:t>Note:</w:t>
      </w:r>
      <w:r>
        <w:tab/>
        <w:t xml:space="preserve">Within this document </w:t>
      </w:r>
      <w:r w:rsidR="00BF4DB4">
        <w:t xml:space="preserve">the </w:t>
      </w:r>
      <w:r w:rsidR="00BF4DB4" w:rsidRPr="00BF4DB4">
        <w:rPr>
          <w:b/>
          <w:bCs/>
        </w:rPr>
        <w:t>ISO/IEC/IEEE 15288</w:t>
      </w:r>
      <w:r w:rsidR="00BF4DB4">
        <w:t xml:space="preserve"> simplified definitions will be used</w:t>
      </w:r>
      <w:r>
        <w:t>.</w:t>
      </w:r>
    </w:p>
    <w:p w14:paraId="0436B504" w14:textId="77777777" w:rsidR="00D96D71" w:rsidRDefault="00D96D71">
      <w:pPr>
        <w:rPr>
          <w:sz w:val="40"/>
          <w:szCs w:val="40"/>
        </w:rPr>
      </w:pPr>
      <w:r>
        <w:br w:type="page"/>
      </w:r>
    </w:p>
    <w:p w14:paraId="43FE3276" w14:textId="0540061A" w:rsidR="00206788" w:rsidRDefault="00D96D71" w:rsidP="00206788">
      <w:pPr>
        <w:pStyle w:val="Heading1"/>
      </w:pPr>
      <w:r>
        <w:lastRenderedPageBreak/>
        <w:t>Visualization</w:t>
      </w:r>
    </w:p>
    <w:p w14:paraId="7F3071FC" w14:textId="33F727CC" w:rsidR="00206788" w:rsidRDefault="00D96D71" w:rsidP="00206788">
      <w:pPr>
        <w:spacing w:after="240"/>
        <w:jc w:val="both"/>
      </w:pPr>
      <w:r>
        <w:t>The following diagram shows</w:t>
      </w:r>
      <w:r w:rsidR="00D9649D">
        <w:t xml:space="preserve"> the dependencies between various </w:t>
      </w:r>
      <w:r w:rsidR="00D9649D" w:rsidRPr="00D9649D">
        <w:rPr>
          <w:b/>
          <w:bCs/>
        </w:rPr>
        <w:t>AVCDL</w:t>
      </w:r>
      <w:r w:rsidR="00D9649D">
        <w:t xml:space="preserve"> phase requirement products and how verification and validation are achieved</w:t>
      </w:r>
      <w:r w:rsidR="005C5920">
        <w:t>.</w:t>
      </w:r>
    </w:p>
    <w:p w14:paraId="064B65E1" w14:textId="77777777" w:rsidR="003C37B0" w:rsidRDefault="00206788" w:rsidP="00F13E10">
      <w:pPr>
        <w:spacing w:after="240"/>
        <w:jc w:val="center"/>
      </w:pPr>
      <w:r>
        <w:rPr>
          <w:noProof/>
        </w:rPr>
        <w:drawing>
          <wp:inline distT="0" distB="0" distL="0" distR="0" wp14:anchorId="19C0CFF9" wp14:editId="39BCA0A3">
            <wp:extent cx="6034326" cy="676768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34326" cy="6767688"/>
                    </a:xfrm>
                    <a:prstGeom prst="rect">
                      <a:avLst/>
                    </a:prstGeom>
                  </pic:spPr>
                </pic:pic>
              </a:graphicData>
            </a:graphic>
          </wp:inline>
        </w:drawing>
      </w:r>
    </w:p>
    <w:p w14:paraId="37C1D628" w14:textId="61C0F5CD" w:rsidR="00D729F4" w:rsidRDefault="00D729F4" w:rsidP="00D729F4">
      <w:pPr>
        <w:spacing w:after="240"/>
        <w:ind w:left="720" w:hanging="720"/>
        <w:jc w:val="both"/>
      </w:pPr>
      <w:r w:rsidRPr="00D729F4">
        <w:rPr>
          <w:b/>
          <w:bCs/>
          <w:color w:val="0070C0"/>
        </w:rPr>
        <w:t>Note:</w:t>
      </w:r>
      <w:r>
        <w:tab/>
      </w:r>
      <w:r w:rsidR="00D9649D">
        <w:t>This diagram is intended to provide a conceptual overview</w:t>
      </w:r>
      <w:r>
        <w:t>.</w:t>
      </w:r>
      <w:r w:rsidR="00D9649D">
        <w:t xml:space="preserve"> It does not include all activities or dependencies laid out within the </w:t>
      </w:r>
      <w:r w:rsidR="00D9649D" w:rsidRPr="00D9649D">
        <w:rPr>
          <w:b/>
          <w:bCs/>
        </w:rPr>
        <w:t>AVCDL</w:t>
      </w:r>
      <w:r w:rsidR="00D9649D">
        <w:t>.</w:t>
      </w:r>
    </w:p>
    <w:p w14:paraId="1E56D6D1" w14:textId="02E32E80" w:rsidR="004868FA" w:rsidRDefault="004868FA" w:rsidP="004868FA">
      <w:pPr>
        <w:pStyle w:val="Heading1"/>
      </w:pPr>
      <w:bookmarkStart w:id="5" w:name="_Symbology"/>
      <w:bookmarkEnd w:id="5"/>
      <w:r>
        <w:lastRenderedPageBreak/>
        <w:t>Symbology</w:t>
      </w:r>
    </w:p>
    <w:p w14:paraId="0849392C" w14:textId="78F94DC6" w:rsidR="004868FA" w:rsidRDefault="004868FA" w:rsidP="004868FA">
      <w:pPr>
        <w:spacing w:after="240"/>
      </w:pPr>
      <w:r>
        <w:t xml:space="preserve">The </w:t>
      </w:r>
      <w:r w:rsidR="00F42639">
        <w:t xml:space="preserve">following table covers the symbology used in this </w:t>
      </w:r>
      <w:r w:rsidR="00157EC2">
        <w:t>document’s</w:t>
      </w:r>
      <w:r w:rsidR="00F42639">
        <w:t xml:space="preserve"> diagrams</w:t>
      </w:r>
      <w:r>
        <w:t>.</w:t>
      </w:r>
    </w:p>
    <w:tbl>
      <w:tblPr>
        <w:tblStyle w:val="TableGrid"/>
        <w:tblW w:w="0" w:type="auto"/>
        <w:tblLook w:val="04A0" w:firstRow="1" w:lastRow="0" w:firstColumn="1" w:lastColumn="0" w:noHBand="0" w:noVBand="1"/>
      </w:tblPr>
      <w:tblGrid>
        <w:gridCol w:w="1876"/>
        <w:gridCol w:w="7474"/>
      </w:tblGrid>
      <w:tr w:rsidR="00157EC2" w14:paraId="6F3A69DB" w14:textId="77777777" w:rsidTr="00607F9F">
        <w:tc>
          <w:tcPr>
            <w:tcW w:w="1876" w:type="dxa"/>
            <w:shd w:val="clear" w:color="auto" w:fill="DBE5F1" w:themeFill="accent1" w:themeFillTint="33"/>
          </w:tcPr>
          <w:p w14:paraId="5D1227F5" w14:textId="62BC9624" w:rsidR="00F42639" w:rsidRPr="00F42639" w:rsidRDefault="00F42639" w:rsidP="00157EC2">
            <w:pPr>
              <w:spacing w:before="40" w:after="40"/>
              <w:jc w:val="center"/>
              <w:rPr>
                <w:b/>
                <w:bCs/>
              </w:rPr>
            </w:pPr>
            <w:r w:rsidRPr="00F42639">
              <w:rPr>
                <w:b/>
                <w:bCs/>
              </w:rPr>
              <w:t>Symbol</w:t>
            </w:r>
          </w:p>
        </w:tc>
        <w:tc>
          <w:tcPr>
            <w:tcW w:w="7474" w:type="dxa"/>
            <w:shd w:val="clear" w:color="auto" w:fill="DBE5F1" w:themeFill="accent1" w:themeFillTint="33"/>
          </w:tcPr>
          <w:p w14:paraId="1C93DAB7" w14:textId="639AE262" w:rsidR="00F42639" w:rsidRPr="00F42639" w:rsidRDefault="00F42639" w:rsidP="00157EC2">
            <w:pPr>
              <w:spacing w:before="40" w:after="40"/>
              <w:rPr>
                <w:b/>
                <w:bCs/>
              </w:rPr>
            </w:pPr>
            <w:r w:rsidRPr="00F42639">
              <w:rPr>
                <w:b/>
                <w:bCs/>
              </w:rPr>
              <w:t>Description</w:t>
            </w:r>
          </w:p>
        </w:tc>
      </w:tr>
      <w:tr w:rsidR="00157EC2" w14:paraId="37620DF0" w14:textId="77777777" w:rsidTr="00607F9F">
        <w:tc>
          <w:tcPr>
            <w:tcW w:w="1876" w:type="dxa"/>
          </w:tcPr>
          <w:p w14:paraId="2EFBEC6C" w14:textId="00F45B33" w:rsidR="00F42639" w:rsidRDefault="00F42639" w:rsidP="00157EC2">
            <w:pPr>
              <w:spacing w:before="40" w:after="40"/>
              <w:jc w:val="center"/>
            </w:pPr>
            <w:r>
              <w:rPr>
                <w:noProof/>
              </w:rPr>
              <w:drawing>
                <wp:inline distT="0" distB="0" distL="0" distR="0" wp14:anchorId="395B6FB2" wp14:editId="7D1B72CA">
                  <wp:extent cx="564204" cy="703514"/>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0993" cy="736918"/>
                          </a:xfrm>
                          <a:prstGeom prst="rect">
                            <a:avLst/>
                          </a:prstGeom>
                        </pic:spPr>
                      </pic:pic>
                    </a:graphicData>
                  </a:graphic>
                </wp:inline>
              </w:drawing>
            </w:r>
          </w:p>
        </w:tc>
        <w:tc>
          <w:tcPr>
            <w:tcW w:w="7474" w:type="dxa"/>
            <w:vAlign w:val="center"/>
          </w:tcPr>
          <w:p w14:paraId="11A9BA70" w14:textId="1D827B05" w:rsidR="00F42639" w:rsidRDefault="00416C66" w:rsidP="00416C66">
            <w:pPr>
              <w:spacing w:before="40" w:after="40"/>
            </w:pPr>
            <w:r>
              <w:t>Cybersecurity artifact</w:t>
            </w:r>
          </w:p>
        </w:tc>
      </w:tr>
      <w:tr w:rsidR="00157EC2" w14:paraId="20E161D0" w14:textId="77777777" w:rsidTr="00607F9F">
        <w:tc>
          <w:tcPr>
            <w:tcW w:w="1876" w:type="dxa"/>
          </w:tcPr>
          <w:p w14:paraId="47BD9351" w14:textId="508CFE29" w:rsidR="00F42639" w:rsidRDefault="00157EC2" w:rsidP="00157EC2">
            <w:pPr>
              <w:spacing w:before="40" w:after="40"/>
              <w:jc w:val="center"/>
            </w:pPr>
            <w:r>
              <w:rPr>
                <w:noProof/>
              </w:rPr>
              <w:drawing>
                <wp:inline distT="0" distB="0" distL="0" distR="0" wp14:anchorId="4BFF5B23" wp14:editId="2B2EB793">
                  <wp:extent cx="553899" cy="690664"/>
                  <wp:effectExtent l="0" t="0" r="508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047" cy="714540"/>
                          </a:xfrm>
                          <a:prstGeom prst="rect">
                            <a:avLst/>
                          </a:prstGeom>
                        </pic:spPr>
                      </pic:pic>
                    </a:graphicData>
                  </a:graphic>
                </wp:inline>
              </w:drawing>
            </w:r>
          </w:p>
        </w:tc>
        <w:tc>
          <w:tcPr>
            <w:tcW w:w="7474" w:type="dxa"/>
            <w:vAlign w:val="center"/>
          </w:tcPr>
          <w:p w14:paraId="4EC9702E" w14:textId="27694844" w:rsidR="00F42639" w:rsidRDefault="00416C66" w:rsidP="00416C66">
            <w:pPr>
              <w:spacing w:before="40" w:after="40"/>
            </w:pPr>
            <w:r>
              <w:t>Non-cybersecurity artifact</w:t>
            </w:r>
          </w:p>
        </w:tc>
      </w:tr>
      <w:tr w:rsidR="00157EC2" w14:paraId="3A5B47FA" w14:textId="77777777" w:rsidTr="00607F9F">
        <w:tc>
          <w:tcPr>
            <w:tcW w:w="1876" w:type="dxa"/>
          </w:tcPr>
          <w:p w14:paraId="152B5196" w14:textId="417E2AA2" w:rsidR="00F42639" w:rsidRDefault="00157EC2" w:rsidP="00157EC2">
            <w:pPr>
              <w:spacing w:before="40" w:after="40"/>
              <w:jc w:val="center"/>
            </w:pPr>
            <w:r>
              <w:rPr>
                <w:noProof/>
              </w:rPr>
              <w:drawing>
                <wp:inline distT="0" distB="0" distL="0" distR="0" wp14:anchorId="20365BF3" wp14:editId="3B9390B0">
                  <wp:extent cx="846306" cy="617575"/>
                  <wp:effectExtent l="0" t="0" r="5080" b="5080"/>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877490" cy="640331"/>
                          </a:xfrm>
                          <a:prstGeom prst="rect">
                            <a:avLst/>
                          </a:prstGeom>
                        </pic:spPr>
                      </pic:pic>
                    </a:graphicData>
                  </a:graphic>
                </wp:inline>
              </w:drawing>
            </w:r>
          </w:p>
        </w:tc>
        <w:tc>
          <w:tcPr>
            <w:tcW w:w="7474" w:type="dxa"/>
            <w:vAlign w:val="center"/>
          </w:tcPr>
          <w:p w14:paraId="39E5A798" w14:textId="4A15844A" w:rsidR="00F42639" w:rsidRDefault="00416C66" w:rsidP="00416C66">
            <w:pPr>
              <w:spacing w:before="40" w:after="40"/>
            </w:pPr>
            <w:r>
              <w:t>Phase gate</w:t>
            </w:r>
          </w:p>
        </w:tc>
      </w:tr>
      <w:tr w:rsidR="00157EC2" w14:paraId="749FBE9D" w14:textId="77777777" w:rsidTr="00607F9F">
        <w:tc>
          <w:tcPr>
            <w:tcW w:w="1876" w:type="dxa"/>
          </w:tcPr>
          <w:p w14:paraId="4A3FBE6F" w14:textId="4D8B326C" w:rsidR="00F42639" w:rsidRDefault="00157EC2" w:rsidP="00157EC2">
            <w:pPr>
              <w:spacing w:before="40" w:after="40"/>
              <w:jc w:val="center"/>
            </w:pPr>
            <w:r>
              <w:rPr>
                <w:noProof/>
              </w:rPr>
              <w:drawing>
                <wp:inline distT="0" distB="0" distL="0" distR="0" wp14:anchorId="701A462D" wp14:editId="749B5525">
                  <wp:extent cx="571856" cy="5116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571856" cy="511661"/>
                          </a:xfrm>
                          <a:prstGeom prst="rect">
                            <a:avLst/>
                          </a:prstGeom>
                        </pic:spPr>
                      </pic:pic>
                    </a:graphicData>
                  </a:graphic>
                </wp:inline>
              </w:drawing>
            </w:r>
          </w:p>
        </w:tc>
        <w:tc>
          <w:tcPr>
            <w:tcW w:w="7474" w:type="dxa"/>
            <w:vAlign w:val="center"/>
          </w:tcPr>
          <w:p w14:paraId="0A799041" w14:textId="470086E0" w:rsidR="00F42639" w:rsidRDefault="00607F9F" w:rsidP="00416C66">
            <w:pPr>
              <w:spacing w:before="40" w:after="40"/>
            </w:pPr>
            <w:r>
              <w:t>P</w:t>
            </w:r>
            <w:r w:rsidR="00416C66">
              <w:t>rocess flow</w:t>
            </w:r>
          </w:p>
        </w:tc>
      </w:tr>
      <w:tr w:rsidR="00157EC2" w14:paraId="3947823B" w14:textId="77777777" w:rsidTr="00607F9F">
        <w:tc>
          <w:tcPr>
            <w:tcW w:w="1876" w:type="dxa"/>
          </w:tcPr>
          <w:p w14:paraId="2F60854C" w14:textId="312016EC" w:rsidR="00F42639" w:rsidRDefault="00157EC2" w:rsidP="00157EC2">
            <w:pPr>
              <w:spacing w:before="40" w:after="40"/>
              <w:jc w:val="center"/>
            </w:pPr>
            <w:r>
              <w:rPr>
                <w:noProof/>
              </w:rPr>
              <w:drawing>
                <wp:inline distT="0" distB="0" distL="0" distR="0" wp14:anchorId="371C1D5F" wp14:editId="6430A992">
                  <wp:extent cx="490823" cy="4278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490823" cy="427896"/>
                          </a:xfrm>
                          <a:prstGeom prst="rect">
                            <a:avLst/>
                          </a:prstGeom>
                        </pic:spPr>
                      </pic:pic>
                    </a:graphicData>
                  </a:graphic>
                </wp:inline>
              </w:drawing>
            </w:r>
          </w:p>
        </w:tc>
        <w:tc>
          <w:tcPr>
            <w:tcW w:w="7474" w:type="dxa"/>
            <w:vAlign w:val="center"/>
          </w:tcPr>
          <w:p w14:paraId="24E67C9E" w14:textId="41B86C4F" w:rsidR="00F42639" w:rsidRDefault="00607F9F" w:rsidP="00416C66">
            <w:pPr>
              <w:spacing w:before="40" w:after="40"/>
            </w:pPr>
            <w:r>
              <w:t xml:space="preserve">Verification and validation </w:t>
            </w:r>
            <w:r w:rsidR="001C19C6">
              <w:t>dependency</w:t>
            </w:r>
          </w:p>
        </w:tc>
      </w:tr>
    </w:tbl>
    <w:p w14:paraId="7C22FAFD" w14:textId="23B5C82B" w:rsidR="004868FA" w:rsidRDefault="004868FA" w:rsidP="00F42639"/>
    <w:p w14:paraId="589CD594" w14:textId="07667C7B" w:rsidR="004868FA" w:rsidRDefault="00416C66" w:rsidP="00416C66">
      <w:pPr>
        <w:spacing w:after="240"/>
        <w:ind w:left="720" w:hanging="720"/>
        <w:jc w:val="both"/>
      </w:pPr>
      <w:r w:rsidRPr="00416C66">
        <w:rPr>
          <w:b/>
          <w:bCs/>
          <w:color w:val="0070C0"/>
        </w:rPr>
        <w:t>Note:</w:t>
      </w:r>
      <w:r w:rsidRPr="00416C66">
        <w:rPr>
          <w:b/>
          <w:bCs/>
          <w:color w:val="0070C0"/>
        </w:rPr>
        <w:tab/>
      </w:r>
      <w:r>
        <w:t>There is no significance to the background color of each block</w:t>
      </w:r>
      <w:r w:rsidR="00607F9F">
        <w:t xml:space="preserve"> (verification, validation)</w:t>
      </w:r>
      <w:r>
        <w:t>. They differ in order to improve visual uptake.</w:t>
      </w:r>
    </w:p>
    <w:p w14:paraId="21FA6E5C" w14:textId="6C39648A" w:rsidR="00607F9F" w:rsidRDefault="00607F9F" w:rsidP="00607F9F">
      <w:pPr>
        <w:spacing w:after="240"/>
        <w:ind w:left="720" w:hanging="720"/>
        <w:jc w:val="both"/>
      </w:pPr>
      <w:r w:rsidRPr="00416C66">
        <w:rPr>
          <w:b/>
          <w:bCs/>
          <w:color w:val="0070C0"/>
        </w:rPr>
        <w:t>Note:</w:t>
      </w:r>
      <w:r w:rsidRPr="00416C66">
        <w:rPr>
          <w:b/>
          <w:bCs/>
          <w:color w:val="0070C0"/>
        </w:rPr>
        <w:tab/>
      </w:r>
      <w:r w:rsidR="000C064D">
        <w:t xml:space="preserve">The verification and validation blocks above represent </w:t>
      </w:r>
      <w:r w:rsidR="000C064D" w:rsidRPr="000C064D">
        <w:rPr>
          <w:b/>
          <w:bCs/>
        </w:rPr>
        <w:t>ISO/IEC/IEEE 15288</w:t>
      </w:r>
      <w:r w:rsidR="000C064D">
        <w:t xml:space="preserve"> technical processes and not </w:t>
      </w:r>
      <w:r w:rsidR="000C064D" w:rsidRPr="000C064D">
        <w:rPr>
          <w:b/>
          <w:bCs/>
        </w:rPr>
        <w:t>AVCDL</w:t>
      </w:r>
      <w:r w:rsidR="000C064D">
        <w:t xml:space="preserve"> phases</w:t>
      </w:r>
      <w:r>
        <w:t>.</w:t>
      </w:r>
    </w:p>
    <w:p w14:paraId="13B192BB" w14:textId="77777777" w:rsidR="004868FA" w:rsidRDefault="004868FA">
      <w:pPr>
        <w:rPr>
          <w:sz w:val="40"/>
          <w:szCs w:val="40"/>
        </w:rPr>
      </w:pPr>
      <w:r>
        <w:br w:type="page"/>
      </w:r>
    </w:p>
    <w:p w14:paraId="6EC82FD3" w14:textId="06FD7340" w:rsidR="006507F3" w:rsidRDefault="00DB0AE7" w:rsidP="006507F3">
      <w:pPr>
        <w:pStyle w:val="Heading1"/>
      </w:pPr>
      <w:r>
        <w:lastRenderedPageBreak/>
        <w:t>Verification</w:t>
      </w:r>
    </w:p>
    <w:p w14:paraId="410F5F15" w14:textId="7FC6FAD9" w:rsidR="005C5920" w:rsidRDefault="006862BA" w:rsidP="006862BA">
      <w:pPr>
        <w:spacing w:after="240"/>
      </w:pPr>
      <w:r>
        <w:t xml:space="preserve">The </w:t>
      </w:r>
      <w:r w:rsidR="00BF4DB4">
        <w:t>following diagram shows the elements of interest within the verification technical processes</w:t>
      </w:r>
      <w:r>
        <w:t>.</w:t>
      </w:r>
    </w:p>
    <w:p w14:paraId="05BF8A6A" w14:textId="0E8AEB3F" w:rsidR="005C5920" w:rsidRDefault="00DB0AE7" w:rsidP="005C5920">
      <w:pPr>
        <w:jc w:val="center"/>
      </w:pPr>
      <w:r>
        <w:rPr>
          <w:noProof/>
        </w:rPr>
        <w:drawing>
          <wp:inline distT="0" distB="0" distL="0" distR="0" wp14:anchorId="026F8158" wp14:editId="0E6B0723">
            <wp:extent cx="5943599" cy="52742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599" cy="5274275"/>
                    </a:xfrm>
                    <a:prstGeom prst="rect">
                      <a:avLst/>
                    </a:prstGeom>
                  </pic:spPr>
                </pic:pic>
              </a:graphicData>
            </a:graphic>
          </wp:inline>
        </w:drawing>
      </w:r>
    </w:p>
    <w:p w14:paraId="1FC615CA" w14:textId="77777777" w:rsidR="006862BA" w:rsidRDefault="006862BA" w:rsidP="005C5920">
      <w:pPr>
        <w:jc w:val="both"/>
      </w:pPr>
    </w:p>
    <w:p w14:paraId="15346D81" w14:textId="575F9D98" w:rsidR="005C5920" w:rsidRDefault="00BF4DB4" w:rsidP="006862BA">
      <w:pPr>
        <w:spacing w:after="240"/>
        <w:jc w:val="both"/>
      </w:pPr>
      <w:r>
        <w:t xml:space="preserve">Due to the nature of cybersecurity, the verification technical processes consider </w:t>
      </w:r>
      <w:r w:rsidRPr="000F53E6">
        <w:rPr>
          <w:b/>
          <w:bCs/>
        </w:rPr>
        <w:t>AVCDL</w:t>
      </w:r>
      <w:r>
        <w:t xml:space="preserve"> implementation phase activities </w:t>
      </w:r>
      <w:r w:rsidR="000F53E6">
        <w:t>as well as</w:t>
      </w:r>
      <w:r>
        <w:t xml:space="preserve"> </w:t>
      </w:r>
      <w:r w:rsidRPr="000F53E6">
        <w:rPr>
          <w:b/>
          <w:bCs/>
        </w:rPr>
        <w:t>AVCDL</w:t>
      </w:r>
      <w:r>
        <w:t xml:space="preserve"> verification phase ones. </w:t>
      </w:r>
      <w:r w:rsidR="000F53E6">
        <w:t>This is a different approach than taken in other standards.</w:t>
      </w:r>
    </w:p>
    <w:p w14:paraId="232BC0EB" w14:textId="33A44859" w:rsidR="00B75323" w:rsidRDefault="00B75323" w:rsidP="00B75323">
      <w:pPr>
        <w:spacing w:after="240"/>
        <w:ind w:left="720" w:hanging="720"/>
        <w:jc w:val="both"/>
      </w:pPr>
      <w:r w:rsidRPr="00416C66">
        <w:rPr>
          <w:b/>
          <w:bCs/>
          <w:color w:val="0070C0"/>
        </w:rPr>
        <w:t>Note:</w:t>
      </w:r>
      <w:r w:rsidRPr="00416C66">
        <w:rPr>
          <w:b/>
          <w:bCs/>
          <w:color w:val="0070C0"/>
        </w:rPr>
        <w:tab/>
      </w:r>
      <w:r>
        <w:t xml:space="preserve">The three AVCDL artifacts: </w:t>
      </w:r>
      <w:r w:rsidRPr="00B75323">
        <w:rPr>
          <w:b/>
          <w:bCs/>
        </w:rPr>
        <w:t xml:space="preserve">fuzz testing report </w:t>
      </w:r>
      <w:r w:rsidRPr="00B75323">
        <w:rPr>
          <w:b/>
          <w:bCs/>
          <w:color w:val="0070C0"/>
          <w:vertAlign w:val="superscript"/>
        </w:rPr>
        <w:t>[5]</w:t>
      </w:r>
      <w:r>
        <w:t xml:space="preserve">, </w:t>
      </w:r>
      <w:r w:rsidRPr="00B75323">
        <w:rPr>
          <w:b/>
          <w:bCs/>
        </w:rPr>
        <w:t xml:space="preserve">static analysis report </w:t>
      </w:r>
      <w:r w:rsidRPr="00B75323">
        <w:rPr>
          <w:b/>
          <w:bCs/>
          <w:color w:val="0070C0"/>
          <w:vertAlign w:val="superscript"/>
        </w:rPr>
        <w:t>[6]</w:t>
      </w:r>
      <w:r>
        <w:t xml:space="preserve">, and </w:t>
      </w:r>
      <w:r w:rsidRPr="00B75323">
        <w:rPr>
          <w:b/>
          <w:bCs/>
        </w:rPr>
        <w:t xml:space="preserve">dynamic analysis report </w:t>
      </w:r>
      <w:r w:rsidRPr="00B75323">
        <w:rPr>
          <w:b/>
          <w:bCs/>
          <w:color w:val="0070C0"/>
          <w:vertAlign w:val="superscript"/>
        </w:rPr>
        <w:t>[7]</w:t>
      </w:r>
      <w:r>
        <w:t xml:space="preserve"> are included in the verification technical processes but do not refer back to previous artifacts.</w:t>
      </w:r>
      <w:r w:rsidR="00677B5D">
        <w:t xml:space="preserve"> This is because they provide direct feedback to the implementation of the element being reported upon based not upon goals or requirements, but on correct cybersecurity implementation as determined by </w:t>
      </w:r>
      <w:r w:rsidR="00677B5D" w:rsidRPr="00677B5D">
        <w:rPr>
          <w:i/>
          <w:iCs/>
        </w:rPr>
        <w:t>de facto</w:t>
      </w:r>
      <w:r w:rsidR="00677B5D">
        <w:t xml:space="preserve"> standards.</w:t>
      </w:r>
    </w:p>
    <w:p w14:paraId="6A596AA8" w14:textId="5E1EA5BB" w:rsidR="00083732" w:rsidRPr="00206788" w:rsidRDefault="00083732" w:rsidP="004F43AA">
      <w:pPr>
        <w:spacing w:after="240"/>
        <w:jc w:val="both"/>
      </w:pPr>
      <w:r>
        <w:br w:type="page"/>
      </w:r>
    </w:p>
    <w:p w14:paraId="28F1AD92" w14:textId="3B28B928" w:rsidR="00B146D0" w:rsidRDefault="00DB0AE7" w:rsidP="00B146D0">
      <w:pPr>
        <w:pStyle w:val="Heading2"/>
      </w:pPr>
      <w:r>
        <w:lastRenderedPageBreak/>
        <w:t>Secur</w:t>
      </w:r>
      <w:r w:rsidR="00677B5D">
        <w:t>e</w:t>
      </w:r>
      <w:r>
        <w:t xml:space="preserve"> Code Review</w:t>
      </w:r>
    </w:p>
    <w:p w14:paraId="5D709CF9" w14:textId="61CB5A20" w:rsidR="00B146D0" w:rsidRDefault="00677B5D" w:rsidP="00EF0BBB">
      <w:pPr>
        <w:spacing w:after="240"/>
      </w:pPr>
      <w:r>
        <w:t xml:space="preserve">The verification basis of the </w:t>
      </w:r>
      <w:r w:rsidR="00610D46">
        <w:rPr>
          <w:b/>
          <w:bCs/>
        </w:rPr>
        <w:t>security code review report</w:t>
      </w:r>
      <w:r w:rsidR="00610D46" w:rsidRPr="00913C8C">
        <w:rPr>
          <w:b/>
          <w:bCs/>
        </w:rPr>
        <w:t xml:space="preserve"> </w:t>
      </w:r>
      <w:r w:rsidRPr="00677B5D">
        <w:rPr>
          <w:b/>
          <w:bCs/>
          <w:color w:val="0070C0"/>
          <w:vertAlign w:val="superscript"/>
        </w:rPr>
        <w:t>[8]</w:t>
      </w:r>
      <w:r>
        <w:t xml:space="preserve"> is depicted below</w:t>
      </w:r>
      <w:r w:rsidR="00EF0BBB">
        <w:t>.</w:t>
      </w:r>
    </w:p>
    <w:p w14:paraId="4442E608" w14:textId="5E5364AC" w:rsidR="00B146D0" w:rsidRDefault="00DB0AE7" w:rsidP="00B146D0">
      <w:pPr>
        <w:jc w:val="center"/>
      </w:pPr>
      <w:r>
        <w:rPr>
          <w:noProof/>
        </w:rPr>
        <w:drawing>
          <wp:inline distT="0" distB="0" distL="0" distR="0" wp14:anchorId="4049F778" wp14:editId="3073959A">
            <wp:extent cx="3011693" cy="16557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011693" cy="1655718"/>
                    </a:xfrm>
                    <a:prstGeom prst="rect">
                      <a:avLst/>
                    </a:prstGeom>
                  </pic:spPr>
                </pic:pic>
              </a:graphicData>
            </a:graphic>
          </wp:inline>
        </w:drawing>
      </w:r>
    </w:p>
    <w:p w14:paraId="557FA396" w14:textId="77777777" w:rsidR="00B146D0" w:rsidRDefault="00B146D0" w:rsidP="00B146D0"/>
    <w:p w14:paraId="1CB393CD" w14:textId="73C892E8" w:rsidR="00B146D0" w:rsidRDefault="00913C8C" w:rsidP="00B146D0">
      <w:pPr>
        <w:jc w:val="both"/>
      </w:pPr>
      <w:r>
        <w:t xml:space="preserve">The </w:t>
      </w:r>
      <w:r w:rsidR="00610D46">
        <w:rPr>
          <w:b/>
          <w:bCs/>
        </w:rPr>
        <w:t>security code review report</w:t>
      </w:r>
      <w:r w:rsidRPr="00913C8C">
        <w:rPr>
          <w:b/>
          <w:bCs/>
        </w:rPr>
        <w:t xml:space="preserve"> </w:t>
      </w:r>
      <w:r w:rsidR="004F047A">
        <w:t>uses</w:t>
      </w:r>
      <w:r>
        <w:t xml:space="preserve"> the </w:t>
      </w:r>
      <w:r w:rsidR="004F047A">
        <w:rPr>
          <w:b/>
          <w:bCs/>
        </w:rPr>
        <w:t xml:space="preserve">reviewed element design </w:t>
      </w:r>
      <w:r w:rsidR="004F047A" w:rsidRPr="004F047A">
        <w:rPr>
          <w:b/>
          <w:bCs/>
          <w:color w:val="0070C0"/>
          <w:vertAlign w:val="superscript"/>
        </w:rPr>
        <w:t>[9]</w:t>
      </w:r>
      <w:r>
        <w:t xml:space="preserve"> </w:t>
      </w:r>
      <w:r w:rsidR="004F047A">
        <w:t>as its basis for verification</w:t>
      </w:r>
      <w:r w:rsidR="00EF0BBB">
        <w:t>.</w:t>
      </w:r>
    </w:p>
    <w:p w14:paraId="5AACB5F4" w14:textId="77777777" w:rsidR="006265EC" w:rsidRDefault="006265EC">
      <w:pPr>
        <w:rPr>
          <w:sz w:val="32"/>
          <w:szCs w:val="32"/>
        </w:rPr>
      </w:pPr>
      <w:r>
        <w:br w:type="page"/>
      </w:r>
    </w:p>
    <w:p w14:paraId="31454EE6" w14:textId="309FD0EE" w:rsidR="00B2435C" w:rsidRDefault="00DB0AE7" w:rsidP="00B2435C">
      <w:pPr>
        <w:pStyle w:val="Heading2"/>
      </w:pPr>
      <w:r>
        <w:lastRenderedPageBreak/>
        <w:t>Threat Modeling Review</w:t>
      </w:r>
    </w:p>
    <w:p w14:paraId="0CAAF708" w14:textId="1C4E78BE" w:rsidR="004F047A" w:rsidRDefault="004F047A" w:rsidP="004F047A">
      <w:pPr>
        <w:spacing w:after="240"/>
      </w:pPr>
      <w:r>
        <w:t xml:space="preserve">The verification basis of the </w:t>
      </w:r>
      <w:r>
        <w:rPr>
          <w:b/>
          <w:bCs/>
        </w:rPr>
        <w:t>threat modeling review report</w:t>
      </w:r>
      <w:r>
        <w:t xml:space="preserve"> </w:t>
      </w:r>
      <w:r w:rsidRPr="00677B5D">
        <w:rPr>
          <w:b/>
          <w:bCs/>
          <w:color w:val="0070C0"/>
          <w:vertAlign w:val="superscript"/>
        </w:rPr>
        <w:t>[</w:t>
      </w:r>
      <w:r>
        <w:rPr>
          <w:b/>
          <w:bCs/>
          <w:color w:val="0070C0"/>
          <w:vertAlign w:val="superscript"/>
        </w:rPr>
        <w:t>10</w:t>
      </w:r>
      <w:r w:rsidRPr="00677B5D">
        <w:rPr>
          <w:b/>
          <w:bCs/>
          <w:color w:val="0070C0"/>
          <w:vertAlign w:val="superscript"/>
        </w:rPr>
        <w:t>]</w:t>
      </w:r>
      <w:r>
        <w:t xml:space="preserve"> is depicted below.</w:t>
      </w:r>
    </w:p>
    <w:p w14:paraId="49F24F31" w14:textId="1156CB95" w:rsidR="00B2435C" w:rsidRDefault="00DB0AE7" w:rsidP="00B2435C">
      <w:pPr>
        <w:jc w:val="center"/>
      </w:pPr>
      <w:r>
        <w:rPr>
          <w:noProof/>
        </w:rPr>
        <w:drawing>
          <wp:inline distT="0" distB="0" distL="0" distR="0" wp14:anchorId="49CCDBCF" wp14:editId="57BF5FD6">
            <wp:extent cx="5037651" cy="274780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037651" cy="2747809"/>
                    </a:xfrm>
                    <a:prstGeom prst="rect">
                      <a:avLst/>
                    </a:prstGeom>
                  </pic:spPr>
                </pic:pic>
              </a:graphicData>
            </a:graphic>
          </wp:inline>
        </w:drawing>
      </w:r>
    </w:p>
    <w:p w14:paraId="6FD4F9EB" w14:textId="77777777" w:rsidR="00B2435C" w:rsidRDefault="00B2435C" w:rsidP="00B2435C"/>
    <w:p w14:paraId="70AF979E" w14:textId="2A6FC97D" w:rsidR="004F047A" w:rsidRDefault="004F047A" w:rsidP="004F047A">
      <w:pPr>
        <w:jc w:val="both"/>
      </w:pPr>
      <w:r>
        <w:t xml:space="preserve">The </w:t>
      </w:r>
      <w:r>
        <w:rPr>
          <w:b/>
          <w:bCs/>
        </w:rPr>
        <w:t>threat modeling review report</w:t>
      </w:r>
      <w:r w:rsidRPr="00913C8C">
        <w:rPr>
          <w:b/>
          <w:bCs/>
        </w:rPr>
        <w:t xml:space="preserve"> </w:t>
      </w:r>
      <w:r>
        <w:t xml:space="preserve">uses the </w:t>
      </w:r>
      <w:r>
        <w:rPr>
          <w:b/>
          <w:bCs/>
        </w:rPr>
        <w:t>reviewed element design</w:t>
      </w:r>
      <w:r>
        <w:t xml:space="preserve"> and </w:t>
      </w:r>
      <w:r w:rsidR="00610D46">
        <w:t xml:space="preserve">the </w:t>
      </w:r>
      <w:r w:rsidR="00610D46" w:rsidRPr="00610D46">
        <w:rPr>
          <w:b/>
          <w:bCs/>
        </w:rPr>
        <w:t xml:space="preserve">threat modeling report </w:t>
      </w:r>
      <w:r w:rsidR="00610D46" w:rsidRPr="00610D46">
        <w:rPr>
          <w:b/>
          <w:bCs/>
          <w:color w:val="0070C0"/>
          <w:vertAlign w:val="superscript"/>
        </w:rPr>
        <w:t>[11]</w:t>
      </w:r>
      <w:r w:rsidR="00610D46">
        <w:t xml:space="preserve"> </w:t>
      </w:r>
      <w:r>
        <w:t>as its basis for verification.</w:t>
      </w:r>
      <w:r w:rsidR="00E71CD7">
        <w:t xml:space="preserve"> Since the threat model is based on the design it is used to ensure that the base threat model is accurate. The review ensures that all issues identified in the base threat modeling report have been controlled.</w:t>
      </w:r>
    </w:p>
    <w:p w14:paraId="568DA4DB" w14:textId="77777777" w:rsidR="00820C0C" w:rsidRDefault="00820C0C">
      <w:pPr>
        <w:rPr>
          <w:b/>
          <w:bCs/>
          <w:color w:val="0070C0"/>
        </w:rPr>
      </w:pPr>
      <w:r>
        <w:rPr>
          <w:b/>
          <w:bCs/>
          <w:color w:val="0070C0"/>
        </w:rPr>
        <w:br w:type="page"/>
      </w:r>
    </w:p>
    <w:p w14:paraId="214C397F" w14:textId="69E39896" w:rsidR="009C6141" w:rsidRDefault="00DB0AE7" w:rsidP="009C6141">
      <w:pPr>
        <w:pStyle w:val="Heading2"/>
      </w:pPr>
      <w:r>
        <w:lastRenderedPageBreak/>
        <w:t>Attack Surface Analysis Review</w:t>
      </w:r>
    </w:p>
    <w:p w14:paraId="3754BE2F" w14:textId="3F777460" w:rsidR="00E71CD7" w:rsidRDefault="00E71CD7" w:rsidP="00E71CD7">
      <w:pPr>
        <w:spacing w:after="240"/>
      </w:pPr>
      <w:r>
        <w:t xml:space="preserve">The verification basis of the </w:t>
      </w:r>
      <w:r>
        <w:rPr>
          <w:b/>
          <w:bCs/>
        </w:rPr>
        <w:t>attack surface analysis review report</w:t>
      </w:r>
      <w:r>
        <w:t xml:space="preserve"> </w:t>
      </w:r>
      <w:r w:rsidRPr="00677B5D">
        <w:rPr>
          <w:b/>
          <w:bCs/>
          <w:color w:val="0070C0"/>
          <w:vertAlign w:val="superscript"/>
        </w:rPr>
        <w:t>[</w:t>
      </w:r>
      <w:r>
        <w:rPr>
          <w:b/>
          <w:bCs/>
          <w:color w:val="0070C0"/>
          <w:vertAlign w:val="superscript"/>
        </w:rPr>
        <w:t>12</w:t>
      </w:r>
      <w:r w:rsidRPr="00677B5D">
        <w:rPr>
          <w:b/>
          <w:bCs/>
          <w:color w:val="0070C0"/>
          <w:vertAlign w:val="superscript"/>
        </w:rPr>
        <w:t>]</w:t>
      </w:r>
      <w:r>
        <w:t xml:space="preserve"> is depicted below.</w:t>
      </w:r>
    </w:p>
    <w:p w14:paraId="12635312" w14:textId="09F2D9AF" w:rsidR="009C6141" w:rsidRDefault="00DB0AE7" w:rsidP="009C6141">
      <w:pPr>
        <w:jc w:val="center"/>
      </w:pPr>
      <w:r>
        <w:rPr>
          <w:noProof/>
        </w:rPr>
        <w:drawing>
          <wp:inline distT="0" distB="0" distL="0" distR="0" wp14:anchorId="4495B589" wp14:editId="366D2846">
            <wp:extent cx="3541566" cy="2029921"/>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541566" cy="2029921"/>
                    </a:xfrm>
                    <a:prstGeom prst="rect">
                      <a:avLst/>
                    </a:prstGeom>
                  </pic:spPr>
                </pic:pic>
              </a:graphicData>
            </a:graphic>
          </wp:inline>
        </w:drawing>
      </w:r>
    </w:p>
    <w:p w14:paraId="0776938A" w14:textId="77777777" w:rsidR="009C6141" w:rsidRDefault="009C6141" w:rsidP="009C6141"/>
    <w:p w14:paraId="29DFDB5F" w14:textId="595FA3F8" w:rsidR="00E71CD7" w:rsidRDefault="00E71CD7" w:rsidP="00E71CD7">
      <w:pPr>
        <w:jc w:val="both"/>
      </w:pPr>
      <w:r>
        <w:t xml:space="preserve">The </w:t>
      </w:r>
      <w:r>
        <w:rPr>
          <w:b/>
          <w:bCs/>
        </w:rPr>
        <w:t>attack surface analysis review report</w:t>
      </w:r>
      <w:r w:rsidRPr="00913C8C">
        <w:rPr>
          <w:b/>
          <w:bCs/>
        </w:rPr>
        <w:t xml:space="preserve"> </w:t>
      </w:r>
      <w:r>
        <w:t xml:space="preserve">uses the </w:t>
      </w:r>
      <w:r>
        <w:rPr>
          <w:b/>
          <w:bCs/>
        </w:rPr>
        <w:t>reviewed element design</w:t>
      </w:r>
      <w:r>
        <w:t xml:space="preserve"> and the </w:t>
      </w:r>
      <w:r>
        <w:rPr>
          <w:b/>
          <w:bCs/>
        </w:rPr>
        <w:t>attack surface analysis</w:t>
      </w:r>
      <w:r w:rsidRPr="00610D46">
        <w:rPr>
          <w:b/>
          <w:bCs/>
        </w:rPr>
        <w:t xml:space="preserve"> report </w:t>
      </w:r>
      <w:r w:rsidRPr="00610D46">
        <w:rPr>
          <w:b/>
          <w:bCs/>
          <w:color w:val="0070C0"/>
          <w:vertAlign w:val="superscript"/>
        </w:rPr>
        <w:t>[1</w:t>
      </w:r>
      <w:r>
        <w:rPr>
          <w:b/>
          <w:bCs/>
          <w:color w:val="0070C0"/>
          <w:vertAlign w:val="superscript"/>
        </w:rPr>
        <w:t>3</w:t>
      </w:r>
      <w:r w:rsidRPr="00610D46">
        <w:rPr>
          <w:b/>
          <w:bCs/>
          <w:color w:val="0070C0"/>
          <w:vertAlign w:val="superscript"/>
        </w:rPr>
        <w:t>]</w:t>
      </w:r>
      <w:r>
        <w:t xml:space="preserve"> as its basis for verification. Since the attack surface is based on the design it is used to ensure that the base attack surface analysis is accurate. The review ensures that all issues identified in the base attack surface analysis report have been </w:t>
      </w:r>
      <w:r w:rsidR="005E6CA0">
        <w:t>addressed</w:t>
      </w:r>
      <w:r>
        <w:t>.</w:t>
      </w:r>
    </w:p>
    <w:p w14:paraId="128BD58E" w14:textId="2E033C24" w:rsidR="009C6141" w:rsidRDefault="009C6141">
      <w:r>
        <w:br w:type="page"/>
      </w:r>
    </w:p>
    <w:p w14:paraId="6E61C4F6" w14:textId="13FF6BB7" w:rsidR="009C6141" w:rsidRDefault="00DB0AE7" w:rsidP="009C6141">
      <w:pPr>
        <w:pStyle w:val="Heading2"/>
      </w:pPr>
      <w:r>
        <w:lastRenderedPageBreak/>
        <w:t>Penetration Testing</w:t>
      </w:r>
    </w:p>
    <w:p w14:paraId="53234A27" w14:textId="3C319D3B" w:rsidR="005E6CA0" w:rsidRDefault="005E6CA0" w:rsidP="005E6CA0">
      <w:pPr>
        <w:spacing w:after="240"/>
      </w:pPr>
      <w:r>
        <w:t xml:space="preserve">The verification basis of the </w:t>
      </w:r>
      <w:r>
        <w:rPr>
          <w:b/>
          <w:bCs/>
        </w:rPr>
        <w:t>penetration testing report</w:t>
      </w:r>
      <w:r>
        <w:t xml:space="preserve"> </w:t>
      </w:r>
      <w:r w:rsidRPr="00677B5D">
        <w:rPr>
          <w:b/>
          <w:bCs/>
          <w:color w:val="0070C0"/>
          <w:vertAlign w:val="superscript"/>
        </w:rPr>
        <w:t>[</w:t>
      </w:r>
      <w:r>
        <w:rPr>
          <w:b/>
          <w:bCs/>
          <w:color w:val="0070C0"/>
          <w:vertAlign w:val="superscript"/>
        </w:rPr>
        <w:t>14</w:t>
      </w:r>
      <w:r w:rsidRPr="00677B5D">
        <w:rPr>
          <w:b/>
          <w:bCs/>
          <w:color w:val="0070C0"/>
          <w:vertAlign w:val="superscript"/>
        </w:rPr>
        <w:t>]</w:t>
      </w:r>
      <w:r>
        <w:t xml:space="preserve"> is depicted below.</w:t>
      </w:r>
    </w:p>
    <w:p w14:paraId="65004FE5" w14:textId="659C35CD" w:rsidR="009C6141" w:rsidRDefault="00DB0AE7" w:rsidP="009C6141">
      <w:pPr>
        <w:jc w:val="center"/>
      </w:pPr>
      <w:r>
        <w:rPr>
          <w:noProof/>
        </w:rPr>
        <w:drawing>
          <wp:inline distT="0" distB="0" distL="0" distR="0" wp14:anchorId="34C8F927" wp14:editId="58B7920F">
            <wp:extent cx="5344333" cy="4456301"/>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344333" cy="4456301"/>
                    </a:xfrm>
                    <a:prstGeom prst="rect">
                      <a:avLst/>
                    </a:prstGeom>
                  </pic:spPr>
                </pic:pic>
              </a:graphicData>
            </a:graphic>
          </wp:inline>
        </w:drawing>
      </w:r>
    </w:p>
    <w:p w14:paraId="5805ED51" w14:textId="77777777" w:rsidR="009C6141" w:rsidRDefault="009C6141" w:rsidP="009C6141"/>
    <w:p w14:paraId="0CEBA381" w14:textId="1D6E63AB" w:rsidR="005E6CA0" w:rsidRDefault="005E6CA0" w:rsidP="005E6CA0">
      <w:pPr>
        <w:jc w:val="both"/>
      </w:pPr>
      <w:r>
        <w:t xml:space="preserve">The </w:t>
      </w:r>
      <w:r>
        <w:rPr>
          <w:b/>
          <w:bCs/>
        </w:rPr>
        <w:t>penetration testing report</w:t>
      </w:r>
      <w:r w:rsidRPr="00913C8C">
        <w:rPr>
          <w:b/>
          <w:bCs/>
        </w:rPr>
        <w:t xml:space="preserve"> </w:t>
      </w:r>
      <w:r>
        <w:t xml:space="preserve">uses the </w:t>
      </w:r>
      <w:r>
        <w:rPr>
          <w:b/>
          <w:bCs/>
        </w:rPr>
        <w:t xml:space="preserve">product-level cybersecurity requirements </w:t>
      </w:r>
      <w:r w:rsidRPr="005E6CA0">
        <w:rPr>
          <w:b/>
          <w:bCs/>
          <w:color w:val="0070C0"/>
          <w:vertAlign w:val="superscript"/>
        </w:rPr>
        <w:t>[15]</w:t>
      </w:r>
      <w:r w:rsidRPr="005E6CA0">
        <w:t>,</w:t>
      </w:r>
      <w:r>
        <w:t xml:space="preserve"> </w:t>
      </w:r>
      <w:r w:rsidRPr="005E6CA0">
        <w:rPr>
          <w:b/>
          <w:bCs/>
        </w:rPr>
        <w:t>cybersecurity dependencies</w:t>
      </w:r>
      <w:r>
        <w:t xml:space="preserve"> </w:t>
      </w:r>
      <w:r w:rsidRPr="005E6CA0">
        <w:rPr>
          <w:b/>
          <w:bCs/>
          <w:color w:val="0070C0"/>
          <w:vertAlign w:val="superscript"/>
        </w:rPr>
        <w:t>[16]</w:t>
      </w:r>
      <w:r w:rsidRPr="005E6CA0">
        <w:rPr>
          <w:color w:val="0070C0"/>
        </w:rPr>
        <w:t xml:space="preserve"> </w:t>
      </w:r>
      <w:r>
        <w:t xml:space="preserve">augmenting the </w:t>
      </w:r>
      <w:r w:rsidRPr="005E6CA0">
        <w:rPr>
          <w:b/>
          <w:bCs/>
        </w:rPr>
        <w:t>element functional requirements</w:t>
      </w:r>
      <w:r>
        <w:t xml:space="preserve">, and the </w:t>
      </w:r>
      <w:r>
        <w:rPr>
          <w:b/>
          <w:bCs/>
        </w:rPr>
        <w:t>reviewed element design</w:t>
      </w:r>
      <w:r>
        <w:t xml:space="preserve"> as its basis for verification. Since </w:t>
      </w:r>
      <w:r w:rsidR="0048690C">
        <w:t>penetration testing</w:t>
      </w:r>
      <w:r>
        <w:t xml:space="preserve"> is </w:t>
      </w:r>
      <w:r w:rsidR="0048690C">
        <w:t>performed</w:t>
      </w:r>
      <w:r>
        <w:t xml:space="preserve"> on </w:t>
      </w:r>
      <w:r w:rsidR="0048690C">
        <w:t>an operational component (or system), all three are necessary</w:t>
      </w:r>
      <w:r>
        <w:t xml:space="preserve">. The review ensures that </w:t>
      </w:r>
      <w:r w:rsidR="0048690C">
        <w:t>the component withstands direct attack</w:t>
      </w:r>
      <w:r>
        <w:t>.</w:t>
      </w:r>
    </w:p>
    <w:p w14:paraId="4D270E70" w14:textId="26A24A74" w:rsidR="009C6141" w:rsidRDefault="009C6141">
      <w:r>
        <w:br w:type="page"/>
      </w:r>
    </w:p>
    <w:p w14:paraId="491010A1" w14:textId="289C2747" w:rsidR="009C6141" w:rsidRDefault="00DB0AE7" w:rsidP="00DB0AE7">
      <w:pPr>
        <w:pStyle w:val="Heading1"/>
      </w:pPr>
      <w:r>
        <w:lastRenderedPageBreak/>
        <w:t>Validation</w:t>
      </w:r>
    </w:p>
    <w:p w14:paraId="3E3995DB" w14:textId="38D085CC" w:rsidR="0048690C" w:rsidRDefault="0048690C" w:rsidP="0048690C">
      <w:pPr>
        <w:spacing w:after="240"/>
      </w:pPr>
      <w:r>
        <w:t>The following diagram shows the elements of interest within the validation technical processes.</w:t>
      </w:r>
    </w:p>
    <w:p w14:paraId="53CA72A0" w14:textId="2A08655D" w:rsidR="009C6141" w:rsidRDefault="00DB0AE7" w:rsidP="009C6141">
      <w:pPr>
        <w:jc w:val="center"/>
      </w:pPr>
      <w:r>
        <w:rPr>
          <w:noProof/>
        </w:rPr>
        <w:drawing>
          <wp:inline distT="0" distB="0" distL="0" distR="0" wp14:anchorId="1F257588" wp14:editId="4D493C1E">
            <wp:extent cx="4563790" cy="283864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4563790" cy="2838646"/>
                    </a:xfrm>
                    <a:prstGeom prst="rect">
                      <a:avLst/>
                    </a:prstGeom>
                  </pic:spPr>
                </pic:pic>
              </a:graphicData>
            </a:graphic>
          </wp:inline>
        </w:drawing>
      </w:r>
    </w:p>
    <w:p w14:paraId="189C4E73" w14:textId="77777777" w:rsidR="009C6141" w:rsidRDefault="009C6141" w:rsidP="009C6141"/>
    <w:p w14:paraId="72D8D38D" w14:textId="6A69C60E" w:rsidR="0048690C" w:rsidRDefault="0048690C" w:rsidP="006D7846">
      <w:pPr>
        <w:spacing w:after="240"/>
        <w:jc w:val="both"/>
      </w:pPr>
      <w:r>
        <w:t xml:space="preserve">Unlike the verification technical processes, the validation technical processes </w:t>
      </w:r>
      <w:r w:rsidR="006D7846">
        <w:t xml:space="preserve">occur during a single </w:t>
      </w:r>
      <w:r w:rsidR="006D7846" w:rsidRPr="006D7846">
        <w:rPr>
          <w:b/>
          <w:bCs/>
        </w:rPr>
        <w:t>AVCDL</w:t>
      </w:r>
      <w:r w:rsidR="006D7846">
        <w:t xml:space="preserve"> phase, specifically the release phase. This phase is not named the validation phase as activities other than validation occur in it.</w:t>
      </w:r>
    </w:p>
    <w:p w14:paraId="3C05A570" w14:textId="305B2224" w:rsidR="0048690C" w:rsidRDefault="0048690C" w:rsidP="00BF2416">
      <w:pPr>
        <w:spacing w:after="240"/>
        <w:jc w:val="both"/>
      </w:pPr>
      <w:r>
        <w:t xml:space="preserve">The </w:t>
      </w:r>
      <w:r w:rsidR="006D7846">
        <w:t>validation</w:t>
      </w:r>
      <w:r>
        <w:t xml:space="preserve"> basis of the </w:t>
      </w:r>
      <w:r w:rsidR="006D7846">
        <w:rPr>
          <w:b/>
          <w:bCs/>
        </w:rPr>
        <w:t>final security review</w:t>
      </w:r>
      <w:r>
        <w:rPr>
          <w:b/>
          <w:bCs/>
        </w:rPr>
        <w:t xml:space="preserve"> report</w:t>
      </w:r>
      <w:r>
        <w:t xml:space="preserve"> </w:t>
      </w:r>
      <w:r w:rsidRPr="00677B5D">
        <w:rPr>
          <w:b/>
          <w:bCs/>
          <w:color w:val="0070C0"/>
          <w:vertAlign w:val="superscript"/>
        </w:rPr>
        <w:t>[</w:t>
      </w:r>
      <w:r>
        <w:rPr>
          <w:b/>
          <w:bCs/>
          <w:color w:val="0070C0"/>
          <w:vertAlign w:val="superscript"/>
        </w:rPr>
        <w:t>1</w:t>
      </w:r>
      <w:r w:rsidR="006D7846">
        <w:rPr>
          <w:b/>
          <w:bCs/>
          <w:color w:val="0070C0"/>
          <w:vertAlign w:val="superscript"/>
        </w:rPr>
        <w:t>7</w:t>
      </w:r>
      <w:r w:rsidRPr="00677B5D">
        <w:rPr>
          <w:b/>
          <w:bCs/>
          <w:color w:val="0070C0"/>
          <w:vertAlign w:val="superscript"/>
        </w:rPr>
        <w:t>]</w:t>
      </w:r>
      <w:r>
        <w:t xml:space="preserve"> is depicted </w:t>
      </w:r>
      <w:r w:rsidR="006D7846">
        <w:t>above</w:t>
      </w:r>
      <w:r>
        <w:t>.</w:t>
      </w:r>
      <w:r w:rsidR="006D7846">
        <w:t xml:space="preserve"> </w:t>
      </w:r>
      <w:r>
        <w:t xml:space="preserve">The </w:t>
      </w:r>
      <w:r w:rsidR="006D7846">
        <w:rPr>
          <w:b/>
          <w:bCs/>
        </w:rPr>
        <w:t>final security review report</w:t>
      </w:r>
      <w:r w:rsidRPr="00913C8C">
        <w:rPr>
          <w:b/>
          <w:bCs/>
        </w:rPr>
        <w:t xml:space="preserve"> </w:t>
      </w:r>
      <w:r>
        <w:t xml:space="preserve">uses the </w:t>
      </w:r>
      <w:r>
        <w:rPr>
          <w:b/>
          <w:bCs/>
        </w:rPr>
        <w:t>product-level cybersecurity requirements</w:t>
      </w:r>
      <w:r>
        <w:t xml:space="preserve"> and the </w:t>
      </w:r>
      <w:r w:rsidR="006D7846">
        <w:rPr>
          <w:b/>
          <w:bCs/>
        </w:rPr>
        <w:t xml:space="preserve">product-level cybersecurity goals </w:t>
      </w:r>
      <w:r w:rsidR="006D7846" w:rsidRPr="00677B5D">
        <w:rPr>
          <w:b/>
          <w:bCs/>
          <w:color w:val="0070C0"/>
          <w:vertAlign w:val="superscript"/>
        </w:rPr>
        <w:t>[</w:t>
      </w:r>
      <w:r w:rsidR="006D7846">
        <w:rPr>
          <w:b/>
          <w:bCs/>
          <w:color w:val="0070C0"/>
          <w:vertAlign w:val="superscript"/>
        </w:rPr>
        <w:t>18</w:t>
      </w:r>
      <w:r w:rsidR="006D7846" w:rsidRPr="00677B5D">
        <w:rPr>
          <w:b/>
          <w:bCs/>
          <w:color w:val="0070C0"/>
          <w:vertAlign w:val="superscript"/>
        </w:rPr>
        <w:t>]</w:t>
      </w:r>
      <w:r>
        <w:t xml:space="preserve"> as its basis for </w:t>
      </w:r>
      <w:r w:rsidR="006D7846">
        <w:t>validation</w:t>
      </w:r>
      <w:r>
        <w:t>.</w:t>
      </w:r>
      <w:r w:rsidR="009B39EF">
        <w:t xml:space="preserve"> </w:t>
      </w:r>
      <w:r>
        <w:t xml:space="preserve">The review ensures that the </w:t>
      </w:r>
      <w:r w:rsidR="00BF2416">
        <w:t>product as implemented adheres to and achieves the product’s cybersecurity goals and requirements</w:t>
      </w:r>
      <w:r>
        <w:t>.</w:t>
      </w:r>
    </w:p>
    <w:p w14:paraId="3B0EFD16" w14:textId="77777777" w:rsidR="008F7B05" w:rsidRDefault="008F7B05" w:rsidP="00766AEF">
      <w:pPr>
        <w:spacing w:after="240"/>
        <w:ind w:left="720" w:hanging="720"/>
        <w:jc w:val="both"/>
      </w:pPr>
    </w:p>
    <w:p w14:paraId="40487D89" w14:textId="19609507" w:rsidR="00766AEF" w:rsidRDefault="00766AEF">
      <w:r>
        <w:br w:type="page"/>
      </w:r>
    </w:p>
    <w:p w14:paraId="0000000C" w14:textId="7B8D153D" w:rsidR="00E27AF5" w:rsidRDefault="008C1D59">
      <w:pPr>
        <w:pStyle w:val="Heading1"/>
      </w:pPr>
      <w:bookmarkStart w:id="6" w:name="_Open_Source_Modification"/>
      <w:bookmarkEnd w:id="6"/>
      <w:r>
        <w:lastRenderedPageBreak/>
        <w:t>References</w:t>
      </w:r>
    </w:p>
    <w:p w14:paraId="0000000D" w14:textId="10A40850" w:rsidR="00E27AF5" w:rsidRPr="00083732" w:rsidRDefault="0082660E" w:rsidP="0082660E">
      <w:pPr>
        <w:pStyle w:val="ListParagraph"/>
        <w:numPr>
          <w:ilvl w:val="0"/>
          <w:numId w:val="2"/>
        </w:numPr>
        <w:rPr>
          <w:b/>
        </w:rPr>
      </w:pPr>
      <w:bookmarkStart w:id="7" w:name="ref_01"/>
      <w:bookmarkEnd w:id="7"/>
      <w:r>
        <w:rPr>
          <w:b/>
        </w:rPr>
        <w:t xml:space="preserve">Autonomous Vehicle Cybersecurity Development Lifecycle </w:t>
      </w:r>
      <w:r w:rsidRPr="0082660E">
        <w:rPr>
          <w:bCs/>
        </w:rPr>
        <w:t>(AVCDL primary document)</w:t>
      </w:r>
    </w:p>
    <w:p w14:paraId="2D48BF7C" w14:textId="3F7957A6" w:rsidR="000E6FDE" w:rsidRPr="008770D0" w:rsidRDefault="007250FF" w:rsidP="0082660E">
      <w:pPr>
        <w:pStyle w:val="ListParagraph"/>
        <w:numPr>
          <w:ilvl w:val="0"/>
          <w:numId w:val="2"/>
        </w:numPr>
        <w:rPr>
          <w:bCs/>
        </w:rPr>
      </w:pPr>
      <w:r>
        <w:rPr>
          <w:b/>
          <w:bCs/>
        </w:rPr>
        <w:t>ISO 26262 – Road vehicles – Functional safety</w:t>
      </w:r>
      <w:r>
        <w:br/>
      </w:r>
      <w:hyperlink r:id="rId21" w:history="1">
        <w:r w:rsidRPr="00157BED">
          <w:rPr>
            <w:rStyle w:val="Hyperlink"/>
            <w:rFonts w:ascii="Courier New" w:hAnsi="Courier New" w:cs="Courier New"/>
            <w:b/>
            <w:bCs/>
            <w:sz w:val="20"/>
            <w:szCs w:val="20"/>
          </w:rPr>
          <w:t>https://www.iso.org/standard/68383.html</w:t>
        </w:r>
      </w:hyperlink>
      <w:r>
        <w:rPr>
          <w:rFonts w:ascii="Courier New" w:hAnsi="Courier New" w:cs="Courier New"/>
          <w:b/>
          <w:bCs/>
          <w:sz w:val="20"/>
          <w:szCs w:val="20"/>
        </w:rPr>
        <w:t xml:space="preserve"> </w:t>
      </w:r>
    </w:p>
    <w:p w14:paraId="3523ACA4" w14:textId="2AE81D7E" w:rsidR="008770D0" w:rsidRPr="00420DA0" w:rsidRDefault="007250FF" w:rsidP="0082660E">
      <w:pPr>
        <w:pStyle w:val="ListParagraph"/>
        <w:numPr>
          <w:ilvl w:val="0"/>
          <w:numId w:val="2"/>
        </w:numPr>
        <w:rPr>
          <w:bCs/>
        </w:rPr>
      </w:pPr>
      <w:r>
        <w:rPr>
          <w:rStyle w:val="Hyperlink"/>
          <w:b/>
          <w:color w:val="auto"/>
          <w:u w:val="none"/>
        </w:rPr>
        <w:t>ISO 9000 Family – Quality Management</w:t>
      </w:r>
      <w:r>
        <w:rPr>
          <w:rStyle w:val="Hyperlink"/>
          <w:b/>
          <w:color w:val="auto"/>
          <w:u w:val="none"/>
        </w:rPr>
        <w:br/>
      </w:r>
      <w:hyperlink r:id="rId22" w:history="1">
        <w:r w:rsidRPr="00157BED">
          <w:rPr>
            <w:rStyle w:val="Hyperlink"/>
            <w:rFonts w:ascii="Courier New" w:hAnsi="Courier New" w:cs="Courier New"/>
            <w:b/>
            <w:bCs/>
            <w:sz w:val="20"/>
            <w:szCs w:val="20"/>
          </w:rPr>
          <w:t>https://www.iso.org/iso-9001-quality-management.html</w:t>
        </w:r>
      </w:hyperlink>
      <w:r>
        <w:rPr>
          <w:rStyle w:val="Hyperlink"/>
          <w:rFonts w:ascii="Courier New" w:hAnsi="Courier New" w:cs="Courier New"/>
          <w:b/>
          <w:bCs/>
          <w:color w:val="auto"/>
          <w:sz w:val="20"/>
          <w:szCs w:val="20"/>
          <w:u w:val="none"/>
        </w:rPr>
        <w:t xml:space="preserve"> </w:t>
      </w:r>
    </w:p>
    <w:p w14:paraId="3AE52268" w14:textId="1D16F7CC" w:rsidR="00420DA0" w:rsidRPr="0042531C" w:rsidRDefault="007250FF" w:rsidP="00420DA0">
      <w:pPr>
        <w:pStyle w:val="ListParagraph"/>
        <w:numPr>
          <w:ilvl w:val="0"/>
          <w:numId w:val="2"/>
        </w:numPr>
        <w:rPr>
          <w:color w:val="000000" w:themeColor="text1"/>
        </w:rPr>
      </w:pPr>
      <w:r>
        <w:rPr>
          <w:b/>
          <w:bCs/>
          <w:color w:val="000000" w:themeColor="text1"/>
        </w:rPr>
        <w:t>ISO/IEC/IEEE 15288 – Systems and software engineering – System life cycles processes</w:t>
      </w:r>
      <w:r w:rsidR="00420DA0">
        <w:rPr>
          <w:color w:val="000000" w:themeColor="text1"/>
        </w:rPr>
        <w:br/>
      </w:r>
      <w:hyperlink r:id="rId23" w:history="1">
        <w:r w:rsidRPr="00157BED">
          <w:rPr>
            <w:rStyle w:val="Hyperlink"/>
            <w:rFonts w:ascii="Courier New" w:hAnsi="Courier New" w:cs="Courier New"/>
            <w:b/>
            <w:bCs/>
            <w:sz w:val="20"/>
            <w:szCs w:val="20"/>
          </w:rPr>
          <w:t>https://www.iso.org/standard/63711.html</w:t>
        </w:r>
      </w:hyperlink>
      <w:r>
        <w:rPr>
          <w:rFonts w:ascii="Courier New" w:hAnsi="Courier New" w:cs="Courier New"/>
          <w:b/>
          <w:bCs/>
          <w:sz w:val="20"/>
          <w:szCs w:val="20"/>
        </w:rPr>
        <w:t xml:space="preserve"> </w:t>
      </w:r>
    </w:p>
    <w:p w14:paraId="3F81F1A5" w14:textId="3DC71C07" w:rsidR="00420DA0" w:rsidRDefault="00B75323" w:rsidP="00420DA0">
      <w:pPr>
        <w:numPr>
          <w:ilvl w:val="0"/>
          <w:numId w:val="2"/>
        </w:numPr>
        <w:rPr>
          <w:b/>
        </w:rPr>
      </w:pPr>
      <w:r>
        <w:rPr>
          <w:b/>
        </w:rPr>
        <w:t xml:space="preserve">Fuzz Testing Report </w:t>
      </w:r>
      <w:r w:rsidRPr="0082660E">
        <w:rPr>
          <w:bCs/>
        </w:rPr>
        <w:t xml:space="preserve">(AVCDL </w:t>
      </w:r>
      <w:r>
        <w:rPr>
          <w:bCs/>
        </w:rPr>
        <w:t>secondary</w:t>
      </w:r>
      <w:r w:rsidRPr="0082660E">
        <w:rPr>
          <w:bCs/>
        </w:rPr>
        <w:t xml:space="preserve"> document)</w:t>
      </w:r>
      <w:r w:rsidR="00420DA0">
        <w:rPr>
          <w:b/>
        </w:rPr>
        <w:t xml:space="preserve"> </w:t>
      </w:r>
    </w:p>
    <w:p w14:paraId="06C1535D" w14:textId="1D7CF976" w:rsidR="00420DA0" w:rsidRPr="00777C20" w:rsidRDefault="00B75323" w:rsidP="00420DA0">
      <w:pPr>
        <w:numPr>
          <w:ilvl w:val="0"/>
          <w:numId w:val="2"/>
        </w:numPr>
        <w:rPr>
          <w:b/>
          <w:bCs/>
          <w:lang w:val="en-US"/>
        </w:rPr>
      </w:pPr>
      <w:r>
        <w:rPr>
          <w:b/>
        </w:rPr>
        <w:t xml:space="preserve">Static Analysis Report </w:t>
      </w:r>
      <w:r w:rsidRPr="0082660E">
        <w:rPr>
          <w:bCs/>
        </w:rPr>
        <w:t xml:space="preserve">(AVCDL </w:t>
      </w:r>
      <w:r>
        <w:rPr>
          <w:bCs/>
        </w:rPr>
        <w:t>secondary</w:t>
      </w:r>
      <w:r w:rsidRPr="0082660E">
        <w:rPr>
          <w:bCs/>
        </w:rPr>
        <w:t xml:space="preserve"> document)</w:t>
      </w:r>
      <w:r w:rsidR="00420DA0" w:rsidRPr="00777C20">
        <w:rPr>
          <w:rFonts w:ascii="Courier New" w:hAnsi="Courier New" w:cs="Courier New"/>
          <w:b/>
          <w:bCs/>
        </w:rPr>
        <w:t xml:space="preserve"> </w:t>
      </w:r>
    </w:p>
    <w:p w14:paraId="461A3D4E" w14:textId="738B4155" w:rsidR="00420DA0" w:rsidRPr="00677B5D" w:rsidRDefault="00B75323" w:rsidP="00420DA0">
      <w:pPr>
        <w:numPr>
          <w:ilvl w:val="0"/>
          <w:numId w:val="2"/>
        </w:numPr>
      </w:pPr>
      <w:r>
        <w:rPr>
          <w:b/>
        </w:rPr>
        <w:t xml:space="preserve">Dynamic Analysis Report </w:t>
      </w:r>
      <w:r w:rsidRPr="0082660E">
        <w:rPr>
          <w:bCs/>
        </w:rPr>
        <w:t xml:space="preserve">(AVCDL </w:t>
      </w:r>
      <w:r>
        <w:rPr>
          <w:bCs/>
        </w:rPr>
        <w:t>secondary</w:t>
      </w:r>
      <w:r w:rsidRPr="0082660E">
        <w:rPr>
          <w:bCs/>
        </w:rPr>
        <w:t xml:space="preserve"> document)</w:t>
      </w:r>
    </w:p>
    <w:p w14:paraId="40564686" w14:textId="1EE1D580" w:rsidR="00677B5D" w:rsidRPr="004F047A" w:rsidRDefault="00677B5D" w:rsidP="00420DA0">
      <w:pPr>
        <w:numPr>
          <w:ilvl w:val="0"/>
          <w:numId w:val="2"/>
        </w:numPr>
      </w:pPr>
      <w:r>
        <w:rPr>
          <w:b/>
        </w:rPr>
        <w:t xml:space="preserve">Secure Code Review Summary </w:t>
      </w:r>
      <w:r w:rsidRPr="0082660E">
        <w:rPr>
          <w:bCs/>
        </w:rPr>
        <w:t xml:space="preserve">(AVCDL </w:t>
      </w:r>
      <w:r>
        <w:rPr>
          <w:bCs/>
        </w:rPr>
        <w:t>secondary</w:t>
      </w:r>
      <w:r w:rsidRPr="0082660E">
        <w:rPr>
          <w:bCs/>
        </w:rPr>
        <w:t xml:space="preserve"> document)</w:t>
      </w:r>
    </w:p>
    <w:p w14:paraId="58C85781" w14:textId="20484C28" w:rsidR="004F047A" w:rsidRPr="004F047A" w:rsidRDefault="004F047A" w:rsidP="00420DA0">
      <w:pPr>
        <w:numPr>
          <w:ilvl w:val="0"/>
          <w:numId w:val="2"/>
        </w:numPr>
      </w:pPr>
      <w:r>
        <w:rPr>
          <w:b/>
        </w:rPr>
        <w:t xml:space="preserve">Security Design Review Report </w:t>
      </w:r>
      <w:r w:rsidRPr="0082660E">
        <w:rPr>
          <w:bCs/>
        </w:rPr>
        <w:t xml:space="preserve">(AVCDL </w:t>
      </w:r>
      <w:r>
        <w:rPr>
          <w:bCs/>
        </w:rPr>
        <w:t>secondary</w:t>
      </w:r>
      <w:r w:rsidRPr="0082660E">
        <w:rPr>
          <w:bCs/>
        </w:rPr>
        <w:t xml:space="preserve"> document)</w:t>
      </w:r>
    </w:p>
    <w:p w14:paraId="109E6DEE" w14:textId="64745C36" w:rsidR="004F047A" w:rsidRPr="004F047A" w:rsidRDefault="004F047A" w:rsidP="00420DA0">
      <w:pPr>
        <w:numPr>
          <w:ilvl w:val="0"/>
          <w:numId w:val="2"/>
        </w:numPr>
      </w:pPr>
      <w:r>
        <w:rPr>
          <w:b/>
        </w:rPr>
        <w:t xml:space="preserve">Updated Threat Model </w:t>
      </w:r>
      <w:r w:rsidRPr="0082660E">
        <w:rPr>
          <w:bCs/>
        </w:rPr>
        <w:t xml:space="preserve">(AVCDL </w:t>
      </w:r>
      <w:r>
        <w:rPr>
          <w:bCs/>
        </w:rPr>
        <w:t>secondary</w:t>
      </w:r>
      <w:r w:rsidRPr="0082660E">
        <w:rPr>
          <w:bCs/>
        </w:rPr>
        <w:t xml:space="preserve"> document)</w:t>
      </w:r>
    </w:p>
    <w:p w14:paraId="36D9C805" w14:textId="0038861F" w:rsidR="004F047A" w:rsidRPr="00E71CD7" w:rsidRDefault="004F047A" w:rsidP="00420DA0">
      <w:pPr>
        <w:numPr>
          <w:ilvl w:val="0"/>
          <w:numId w:val="2"/>
        </w:numPr>
      </w:pPr>
      <w:r>
        <w:rPr>
          <w:b/>
        </w:rPr>
        <w:t xml:space="preserve">Threat Modeling Report </w:t>
      </w:r>
      <w:r w:rsidRPr="0082660E">
        <w:rPr>
          <w:bCs/>
        </w:rPr>
        <w:t xml:space="preserve">(AVCDL </w:t>
      </w:r>
      <w:r>
        <w:rPr>
          <w:bCs/>
        </w:rPr>
        <w:t>secondary</w:t>
      </w:r>
      <w:r w:rsidRPr="0082660E">
        <w:rPr>
          <w:bCs/>
        </w:rPr>
        <w:t xml:space="preserve"> document)</w:t>
      </w:r>
    </w:p>
    <w:p w14:paraId="137DFC8D" w14:textId="11AE36A5" w:rsidR="00E71CD7" w:rsidRPr="00E71CD7" w:rsidRDefault="00E71CD7" w:rsidP="00420DA0">
      <w:pPr>
        <w:numPr>
          <w:ilvl w:val="0"/>
          <w:numId w:val="2"/>
        </w:numPr>
      </w:pPr>
      <w:r>
        <w:rPr>
          <w:b/>
        </w:rPr>
        <w:t xml:space="preserve">Updated Attack Surface Analysis </w:t>
      </w:r>
      <w:r w:rsidRPr="0082660E">
        <w:rPr>
          <w:bCs/>
        </w:rPr>
        <w:t xml:space="preserve">(AVCDL </w:t>
      </w:r>
      <w:r>
        <w:rPr>
          <w:bCs/>
        </w:rPr>
        <w:t>secondary</w:t>
      </w:r>
      <w:r w:rsidRPr="0082660E">
        <w:rPr>
          <w:bCs/>
        </w:rPr>
        <w:t xml:space="preserve"> document)</w:t>
      </w:r>
    </w:p>
    <w:p w14:paraId="584A98EF" w14:textId="3C7E19AE" w:rsidR="00E71CD7" w:rsidRPr="005E6CA0" w:rsidRDefault="00E71CD7" w:rsidP="00420DA0">
      <w:pPr>
        <w:numPr>
          <w:ilvl w:val="0"/>
          <w:numId w:val="2"/>
        </w:numPr>
      </w:pPr>
      <w:r>
        <w:rPr>
          <w:b/>
        </w:rPr>
        <w:t xml:space="preserve">Attack Surface Analysis Report </w:t>
      </w:r>
      <w:r w:rsidRPr="0082660E">
        <w:rPr>
          <w:bCs/>
        </w:rPr>
        <w:t xml:space="preserve">(AVCDL </w:t>
      </w:r>
      <w:r>
        <w:rPr>
          <w:bCs/>
        </w:rPr>
        <w:t>secondary</w:t>
      </w:r>
      <w:r w:rsidRPr="0082660E">
        <w:rPr>
          <w:bCs/>
        </w:rPr>
        <w:t xml:space="preserve"> document)</w:t>
      </w:r>
    </w:p>
    <w:p w14:paraId="4CAC0A11" w14:textId="4C7141CA" w:rsidR="005E6CA0" w:rsidRPr="005E6CA0" w:rsidRDefault="005E6CA0" w:rsidP="00420DA0">
      <w:pPr>
        <w:numPr>
          <w:ilvl w:val="0"/>
          <w:numId w:val="2"/>
        </w:numPr>
      </w:pPr>
      <w:r>
        <w:rPr>
          <w:b/>
        </w:rPr>
        <w:t xml:space="preserve">Penetration Testing Report </w:t>
      </w:r>
      <w:r w:rsidRPr="0082660E">
        <w:rPr>
          <w:bCs/>
        </w:rPr>
        <w:t xml:space="preserve">(AVCDL </w:t>
      </w:r>
      <w:r>
        <w:rPr>
          <w:bCs/>
        </w:rPr>
        <w:t>secondary</w:t>
      </w:r>
      <w:r w:rsidRPr="0082660E">
        <w:rPr>
          <w:bCs/>
        </w:rPr>
        <w:t xml:space="preserve"> document)</w:t>
      </w:r>
    </w:p>
    <w:p w14:paraId="64BFF38C" w14:textId="6A45B913" w:rsidR="005E6CA0" w:rsidRPr="005E6CA0" w:rsidRDefault="0048690C" w:rsidP="00420DA0">
      <w:pPr>
        <w:numPr>
          <w:ilvl w:val="0"/>
          <w:numId w:val="2"/>
        </w:numPr>
      </w:pPr>
      <w:r>
        <w:rPr>
          <w:b/>
        </w:rPr>
        <w:t>Product-level Security Requirements</w:t>
      </w:r>
      <w:r w:rsidR="005E6CA0">
        <w:rPr>
          <w:b/>
        </w:rPr>
        <w:t xml:space="preserve"> </w:t>
      </w:r>
      <w:r w:rsidR="005E6CA0" w:rsidRPr="0082660E">
        <w:rPr>
          <w:bCs/>
        </w:rPr>
        <w:t xml:space="preserve">(AVCDL </w:t>
      </w:r>
      <w:r w:rsidR="005E6CA0">
        <w:rPr>
          <w:bCs/>
        </w:rPr>
        <w:t>secondary</w:t>
      </w:r>
      <w:r w:rsidR="005E6CA0" w:rsidRPr="0082660E">
        <w:rPr>
          <w:bCs/>
        </w:rPr>
        <w:t xml:space="preserve"> document)</w:t>
      </w:r>
    </w:p>
    <w:p w14:paraId="48B71C0B" w14:textId="0E7DC429" w:rsidR="005E6CA0" w:rsidRPr="006D7846" w:rsidRDefault="0048690C" w:rsidP="00420DA0">
      <w:pPr>
        <w:numPr>
          <w:ilvl w:val="0"/>
          <w:numId w:val="2"/>
        </w:numPr>
      </w:pPr>
      <w:r>
        <w:rPr>
          <w:b/>
        </w:rPr>
        <w:t>Design Showing Security Considerations</w:t>
      </w:r>
      <w:r w:rsidR="005E6CA0">
        <w:rPr>
          <w:b/>
        </w:rPr>
        <w:t xml:space="preserve"> </w:t>
      </w:r>
      <w:r w:rsidR="005E6CA0" w:rsidRPr="0082660E">
        <w:rPr>
          <w:bCs/>
        </w:rPr>
        <w:t xml:space="preserve">(AVCDL </w:t>
      </w:r>
      <w:r w:rsidR="005E6CA0">
        <w:rPr>
          <w:bCs/>
        </w:rPr>
        <w:t>secondary</w:t>
      </w:r>
      <w:r w:rsidR="005E6CA0" w:rsidRPr="0082660E">
        <w:rPr>
          <w:bCs/>
        </w:rPr>
        <w:t xml:space="preserve"> document)</w:t>
      </w:r>
    </w:p>
    <w:p w14:paraId="09DB2241" w14:textId="22722FDE" w:rsidR="006D7846" w:rsidRPr="006D7846" w:rsidRDefault="006D7846" w:rsidP="00420DA0">
      <w:pPr>
        <w:numPr>
          <w:ilvl w:val="0"/>
          <w:numId w:val="2"/>
        </w:numPr>
      </w:pPr>
      <w:r>
        <w:rPr>
          <w:b/>
        </w:rPr>
        <w:t xml:space="preserve">Final Security Review Report </w:t>
      </w:r>
      <w:r w:rsidRPr="0082660E">
        <w:rPr>
          <w:bCs/>
        </w:rPr>
        <w:t xml:space="preserve">(AVCDL </w:t>
      </w:r>
      <w:r>
        <w:rPr>
          <w:bCs/>
        </w:rPr>
        <w:t>secondary</w:t>
      </w:r>
      <w:r w:rsidRPr="0082660E">
        <w:rPr>
          <w:bCs/>
        </w:rPr>
        <w:t xml:space="preserve"> document)</w:t>
      </w:r>
    </w:p>
    <w:p w14:paraId="12772CAB" w14:textId="410FCB71" w:rsidR="006D7846" w:rsidRPr="002609BB" w:rsidRDefault="006D7846" w:rsidP="00420DA0">
      <w:pPr>
        <w:numPr>
          <w:ilvl w:val="0"/>
          <w:numId w:val="2"/>
        </w:numPr>
      </w:pPr>
      <w:r>
        <w:rPr>
          <w:b/>
        </w:rPr>
        <w:t xml:space="preserve">Product-level Security Goals </w:t>
      </w:r>
      <w:r w:rsidRPr="0082660E">
        <w:rPr>
          <w:bCs/>
        </w:rPr>
        <w:t xml:space="preserve">(AVCDL </w:t>
      </w:r>
      <w:r>
        <w:rPr>
          <w:bCs/>
        </w:rPr>
        <w:t>secondary</w:t>
      </w:r>
      <w:r w:rsidRPr="0082660E">
        <w:rPr>
          <w:bCs/>
        </w:rPr>
        <w:t xml:space="preserve"> document)</w:t>
      </w:r>
    </w:p>
    <w:p w14:paraId="2172A271" w14:textId="77777777" w:rsidR="00FE39EB" w:rsidRPr="006265EC" w:rsidRDefault="00FE39EB" w:rsidP="006265EC">
      <w:pPr>
        <w:jc w:val="both"/>
        <w:rPr>
          <w:b/>
        </w:rPr>
      </w:pPr>
    </w:p>
    <w:p w14:paraId="0000000E" w14:textId="77777777" w:rsidR="00E27AF5" w:rsidRDefault="00E27AF5"/>
    <w:p w14:paraId="0000000F" w14:textId="77777777" w:rsidR="00E27AF5" w:rsidRDefault="00E27AF5"/>
    <w:sectPr w:rsidR="00E27AF5" w:rsidSect="00527300">
      <w:footerReference w:type="even" r:id="rId24"/>
      <w:footerReference w:type="default" r:id="rId2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D0AAB" w14:textId="77777777" w:rsidR="00815846" w:rsidRDefault="00815846" w:rsidP="004834EE">
      <w:pPr>
        <w:spacing w:line="240" w:lineRule="auto"/>
      </w:pPr>
      <w:r>
        <w:separator/>
      </w:r>
    </w:p>
  </w:endnote>
  <w:endnote w:type="continuationSeparator" w:id="0">
    <w:p w14:paraId="1622C06D" w14:textId="77777777" w:rsidR="00815846" w:rsidRDefault="00815846"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6334B6F2" w:rsidR="00CF11C5" w:rsidRDefault="00CF11C5" w:rsidP="00CF1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27300">
          <w:rPr>
            <w:rStyle w:val="PageNumber"/>
            <w:noProof/>
          </w:rPr>
          <w:t>3</w:t>
        </w:r>
        <w:r>
          <w:rPr>
            <w:rStyle w:val="PageNumber"/>
          </w:rPr>
          <w:fldChar w:fldCharType="end"/>
        </w:r>
      </w:p>
    </w:sdtContent>
  </w:sdt>
  <w:p w14:paraId="16A55CC0" w14:textId="77777777" w:rsidR="00CF11C5" w:rsidRDefault="00CF11C5"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CF11C5" w:rsidRDefault="00CF11C5" w:rsidP="00CF1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CF11C5" w:rsidRDefault="00CF11C5"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F211F" w14:textId="77777777" w:rsidR="00815846" w:rsidRDefault="00815846" w:rsidP="004834EE">
      <w:pPr>
        <w:spacing w:line="240" w:lineRule="auto"/>
      </w:pPr>
      <w:r>
        <w:separator/>
      </w:r>
    </w:p>
  </w:footnote>
  <w:footnote w:type="continuationSeparator" w:id="0">
    <w:p w14:paraId="2D6CCA4E" w14:textId="77777777" w:rsidR="00815846" w:rsidRDefault="00815846"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51BF0"/>
    <w:multiLevelType w:val="hybridMultilevel"/>
    <w:tmpl w:val="E32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736"/>
    <w:multiLevelType w:val="hybridMultilevel"/>
    <w:tmpl w:val="DE2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A7E71"/>
    <w:multiLevelType w:val="hybridMultilevel"/>
    <w:tmpl w:val="FC4A286A"/>
    <w:lvl w:ilvl="0" w:tplc="F86C126A">
      <w:start w:val="1"/>
      <w:numFmt w:val="bullet"/>
      <w:lvlText w:val="ü"/>
      <w:lvlJc w:val="left"/>
      <w:pPr>
        <w:tabs>
          <w:tab w:val="num" w:pos="720"/>
        </w:tabs>
        <w:ind w:left="720" w:hanging="360"/>
      </w:pPr>
      <w:rPr>
        <w:rFonts w:ascii="Wingdings" w:hAnsi="Wingdings" w:hint="default"/>
      </w:rPr>
    </w:lvl>
    <w:lvl w:ilvl="1" w:tplc="F4D4346C" w:tentative="1">
      <w:start w:val="1"/>
      <w:numFmt w:val="bullet"/>
      <w:lvlText w:val="ü"/>
      <w:lvlJc w:val="left"/>
      <w:pPr>
        <w:tabs>
          <w:tab w:val="num" w:pos="1440"/>
        </w:tabs>
        <w:ind w:left="1440" w:hanging="360"/>
      </w:pPr>
      <w:rPr>
        <w:rFonts w:ascii="Wingdings" w:hAnsi="Wingdings" w:hint="default"/>
      </w:rPr>
    </w:lvl>
    <w:lvl w:ilvl="2" w:tplc="6672868E" w:tentative="1">
      <w:start w:val="1"/>
      <w:numFmt w:val="bullet"/>
      <w:lvlText w:val="ü"/>
      <w:lvlJc w:val="left"/>
      <w:pPr>
        <w:tabs>
          <w:tab w:val="num" w:pos="2160"/>
        </w:tabs>
        <w:ind w:left="2160" w:hanging="360"/>
      </w:pPr>
      <w:rPr>
        <w:rFonts w:ascii="Wingdings" w:hAnsi="Wingdings" w:hint="default"/>
      </w:rPr>
    </w:lvl>
    <w:lvl w:ilvl="3" w:tplc="5532DD74" w:tentative="1">
      <w:start w:val="1"/>
      <w:numFmt w:val="bullet"/>
      <w:lvlText w:val="ü"/>
      <w:lvlJc w:val="left"/>
      <w:pPr>
        <w:tabs>
          <w:tab w:val="num" w:pos="2880"/>
        </w:tabs>
        <w:ind w:left="2880" w:hanging="360"/>
      </w:pPr>
      <w:rPr>
        <w:rFonts w:ascii="Wingdings" w:hAnsi="Wingdings" w:hint="default"/>
      </w:rPr>
    </w:lvl>
    <w:lvl w:ilvl="4" w:tplc="564AE3D2" w:tentative="1">
      <w:start w:val="1"/>
      <w:numFmt w:val="bullet"/>
      <w:lvlText w:val="ü"/>
      <w:lvlJc w:val="left"/>
      <w:pPr>
        <w:tabs>
          <w:tab w:val="num" w:pos="3600"/>
        </w:tabs>
        <w:ind w:left="3600" w:hanging="360"/>
      </w:pPr>
      <w:rPr>
        <w:rFonts w:ascii="Wingdings" w:hAnsi="Wingdings" w:hint="default"/>
      </w:rPr>
    </w:lvl>
    <w:lvl w:ilvl="5" w:tplc="85800E70" w:tentative="1">
      <w:start w:val="1"/>
      <w:numFmt w:val="bullet"/>
      <w:lvlText w:val="ü"/>
      <w:lvlJc w:val="left"/>
      <w:pPr>
        <w:tabs>
          <w:tab w:val="num" w:pos="4320"/>
        </w:tabs>
        <w:ind w:left="4320" w:hanging="360"/>
      </w:pPr>
      <w:rPr>
        <w:rFonts w:ascii="Wingdings" w:hAnsi="Wingdings" w:hint="default"/>
      </w:rPr>
    </w:lvl>
    <w:lvl w:ilvl="6" w:tplc="65003504" w:tentative="1">
      <w:start w:val="1"/>
      <w:numFmt w:val="bullet"/>
      <w:lvlText w:val="ü"/>
      <w:lvlJc w:val="left"/>
      <w:pPr>
        <w:tabs>
          <w:tab w:val="num" w:pos="5040"/>
        </w:tabs>
        <w:ind w:left="5040" w:hanging="360"/>
      </w:pPr>
      <w:rPr>
        <w:rFonts w:ascii="Wingdings" w:hAnsi="Wingdings" w:hint="default"/>
      </w:rPr>
    </w:lvl>
    <w:lvl w:ilvl="7" w:tplc="6BF02F42" w:tentative="1">
      <w:start w:val="1"/>
      <w:numFmt w:val="bullet"/>
      <w:lvlText w:val="ü"/>
      <w:lvlJc w:val="left"/>
      <w:pPr>
        <w:tabs>
          <w:tab w:val="num" w:pos="5760"/>
        </w:tabs>
        <w:ind w:left="5760" w:hanging="360"/>
      </w:pPr>
      <w:rPr>
        <w:rFonts w:ascii="Wingdings" w:hAnsi="Wingdings" w:hint="default"/>
      </w:rPr>
    </w:lvl>
    <w:lvl w:ilvl="8" w:tplc="6562D364" w:tentative="1">
      <w:start w:val="1"/>
      <w:numFmt w:val="bullet"/>
      <w:lvlText w:val="ü"/>
      <w:lvlJc w:val="left"/>
      <w:pPr>
        <w:tabs>
          <w:tab w:val="num" w:pos="6480"/>
        </w:tabs>
        <w:ind w:left="6480" w:hanging="360"/>
      </w:pPr>
      <w:rPr>
        <w:rFonts w:ascii="Wingdings" w:hAnsi="Wingdings" w:hint="default"/>
      </w:rPr>
    </w:lvl>
  </w:abstractNum>
  <w:abstractNum w:abstractNumId="4"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9C21C7"/>
    <w:multiLevelType w:val="hybridMultilevel"/>
    <w:tmpl w:val="F9D4D6A8"/>
    <w:lvl w:ilvl="0" w:tplc="A1944D06">
      <w:start w:val="1"/>
      <w:numFmt w:val="bullet"/>
      <w:lvlText w:val="û"/>
      <w:lvlJc w:val="left"/>
      <w:pPr>
        <w:tabs>
          <w:tab w:val="num" w:pos="720"/>
        </w:tabs>
        <w:ind w:left="720" w:hanging="360"/>
      </w:pPr>
      <w:rPr>
        <w:rFonts w:ascii="Wingdings" w:hAnsi="Wingdings" w:hint="default"/>
      </w:rPr>
    </w:lvl>
    <w:lvl w:ilvl="1" w:tplc="42A07050" w:tentative="1">
      <w:start w:val="1"/>
      <w:numFmt w:val="bullet"/>
      <w:lvlText w:val="û"/>
      <w:lvlJc w:val="left"/>
      <w:pPr>
        <w:tabs>
          <w:tab w:val="num" w:pos="1440"/>
        </w:tabs>
        <w:ind w:left="1440" w:hanging="360"/>
      </w:pPr>
      <w:rPr>
        <w:rFonts w:ascii="Wingdings" w:hAnsi="Wingdings" w:hint="default"/>
      </w:rPr>
    </w:lvl>
    <w:lvl w:ilvl="2" w:tplc="2EAE399E" w:tentative="1">
      <w:start w:val="1"/>
      <w:numFmt w:val="bullet"/>
      <w:lvlText w:val="û"/>
      <w:lvlJc w:val="left"/>
      <w:pPr>
        <w:tabs>
          <w:tab w:val="num" w:pos="2160"/>
        </w:tabs>
        <w:ind w:left="2160" w:hanging="360"/>
      </w:pPr>
      <w:rPr>
        <w:rFonts w:ascii="Wingdings" w:hAnsi="Wingdings" w:hint="default"/>
      </w:rPr>
    </w:lvl>
    <w:lvl w:ilvl="3" w:tplc="F4F89838" w:tentative="1">
      <w:start w:val="1"/>
      <w:numFmt w:val="bullet"/>
      <w:lvlText w:val="û"/>
      <w:lvlJc w:val="left"/>
      <w:pPr>
        <w:tabs>
          <w:tab w:val="num" w:pos="2880"/>
        </w:tabs>
        <w:ind w:left="2880" w:hanging="360"/>
      </w:pPr>
      <w:rPr>
        <w:rFonts w:ascii="Wingdings" w:hAnsi="Wingdings" w:hint="default"/>
      </w:rPr>
    </w:lvl>
    <w:lvl w:ilvl="4" w:tplc="479EEB68" w:tentative="1">
      <w:start w:val="1"/>
      <w:numFmt w:val="bullet"/>
      <w:lvlText w:val="û"/>
      <w:lvlJc w:val="left"/>
      <w:pPr>
        <w:tabs>
          <w:tab w:val="num" w:pos="3600"/>
        </w:tabs>
        <w:ind w:left="3600" w:hanging="360"/>
      </w:pPr>
      <w:rPr>
        <w:rFonts w:ascii="Wingdings" w:hAnsi="Wingdings" w:hint="default"/>
      </w:rPr>
    </w:lvl>
    <w:lvl w:ilvl="5" w:tplc="9F1805FA" w:tentative="1">
      <w:start w:val="1"/>
      <w:numFmt w:val="bullet"/>
      <w:lvlText w:val="û"/>
      <w:lvlJc w:val="left"/>
      <w:pPr>
        <w:tabs>
          <w:tab w:val="num" w:pos="4320"/>
        </w:tabs>
        <w:ind w:left="4320" w:hanging="360"/>
      </w:pPr>
      <w:rPr>
        <w:rFonts w:ascii="Wingdings" w:hAnsi="Wingdings" w:hint="default"/>
      </w:rPr>
    </w:lvl>
    <w:lvl w:ilvl="6" w:tplc="96746016" w:tentative="1">
      <w:start w:val="1"/>
      <w:numFmt w:val="bullet"/>
      <w:lvlText w:val="û"/>
      <w:lvlJc w:val="left"/>
      <w:pPr>
        <w:tabs>
          <w:tab w:val="num" w:pos="5040"/>
        </w:tabs>
        <w:ind w:left="5040" w:hanging="360"/>
      </w:pPr>
      <w:rPr>
        <w:rFonts w:ascii="Wingdings" w:hAnsi="Wingdings" w:hint="default"/>
      </w:rPr>
    </w:lvl>
    <w:lvl w:ilvl="7" w:tplc="AB148A4E" w:tentative="1">
      <w:start w:val="1"/>
      <w:numFmt w:val="bullet"/>
      <w:lvlText w:val="û"/>
      <w:lvlJc w:val="left"/>
      <w:pPr>
        <w:tabs>
          <w:tab w:val="num" w:pos="5760"/>
        </w:tabs>
        <w:ind w:left="5760" w:hanging="360"/>
      </w:pPr>
      <w:rPr>
        <w:rFonts w:ascii="Wingdings" w:hAnsi="Wingdings" w:hint="default"/>
      </w:rPr>
    </w:lvl>
    <w:lvl w:ilvl="8" w:tplc="60C026FE" w:tentative="1">
      <w:start w:val="1"/>
      <w:numFmt w:val="bullet"/>
      <w:lvlText w:val="û"/>
      <w:lvlJc w:val="left"/>
      <w:pPr>
        <w:tabs>
          <w:tab w:val="num" w:pos="6480"/>
        </w:tabs>
        <w:ind w:left="6480" w:hanging="360"/>
      </w:pPr>
      <w:rPr>
        <w:rFonts w:ascii="Wingdings" w:hAnsi="Wingdings" w:hint="default"/>
      </w:rPr>
    </w:lvl>
  </w:abstractNum>
  <w:abstractNum w:abstractNumId="6" w15:restartNumberingAfterBreak="0">
    <w:nsid w:val="2ECF6E21"/>
    <w:multiLevelType w:val="hybridMultilevel"/>
    <w:tmpl w:val="7DA0E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64101"/>
    <w:multiLevelType w:val="hybridMultilevel"/>
    <w:tmpl w:val="F4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B0D07"/>
    <w:multiLevelType w:val="hybridMultilevel"/>
    <w:tmpl w:val="D28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525342"/>
    <w:multiLevelType w:val="hybridMultilevel"/>
    <w:tmpl w:val="8242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9E4FE3"/>
    <w:multiLevelType w:val="multilevel"/>
    <w:tmpl w:val="DBE0B9CC"/>
    <w:lvl w:ilvl="0">
      <w:start w:val="1"/>
      <w:numFmt w:val="decimal"/>
      <w:lvlText w:val="%1."/>
      <w:lvlJc w:val="left"/>
      <w:pPr>
        <w:tabs>
          <w:tab w:val="num" w:pos="822"/>
        </w:tabs>
        <w:ind w:left="822" w:hanging="360"/>
      </w:pPr>
    </w:lvl>
    <w:lvl w:ilvl="1">
      <w:start w:val="1"/>
      <w:numFmt w:val="decimal"/>
      <w:lvlText w:val="%2."/>
      <w:lvlJc w:val="left"/>
      <w:pPr>
        <w:tabs>
          <w:tab w:val="num" w:pos="1182"/>
        </w:tabs>
        <w:ind w:left="1182" w:hanging="360"/>
      </w:pPr>
    </w:lvl>
    <w:lvl w:ilvl="2">
      <w:start w:val="1"/>
      <w:numFmt w:val="decimal"/>
      <w:lvlText w:val="%3."/>
      <w:lvlJc w:val="left"/>
      <w:pPr>
        <w:tabs>
          <w:tab w:val="num" w:pos="1542"/>
        </w:tabs>
        <w:ind w:left="1542" w:hanging="360"/>
      </w:pPr>
    </w:lvl>
    <w:lvl w:ilvl="3">
      <w:start w:val="1"/>
      <w:numFmt w:val="decimal"/>
      <w:lvlText w:val="%4."/>
      <w:lvlJc w:val="left"/>
      <w:pPr>
        <w:tabs>
          <w:tab w:val="num" w:pos="1902"/>
        </w:tabs>
        <w:ind w:left="1902" w:hanging="360"/>
      </w:pPr>
    </w:lvl>
    <w:lvl w:ilvl="4">
      <w:start w:val="1"/>
      <w:numFmt w:val="decimal"/>
      <w:lvlText w:val="%5."/>
      <w:lvlJc w:val="left"/>
      <w:pPr>
        <w:tabs>
          <w:tab w:val="num" w:pos="2262"/>
        </w:tabs>
        <w:ind w:left="2262" w:hanging="360"/>
      </w:pPr>
    </w:lvl>
    <w:lvl w:ilvl="5">
      <w:start w:val="1"/>
      <w:numFmt w:val="decimal"/>
      <w:lvlText w:val="%6."/>
      <w:lvlJc w:val="left"/>
      <w:pPr>
        <w:tabs>
          <w:tab w:val="num" w:pos="2622"/>
        </w:tabs>
        <w:ind w:left="2622" w:hanging="360"/>
      </w:pPr>
    </w:lvl>
    <w:lvl w:ilvl="6">
      <w:start w:val="1"/>
      <w:numFmt w:val="decimal"/>
      <w:lvlText w:val="%7."/>
      <w:lvlJc w:val="left"/>
      <w:pPr>
        <w:tabs>
          <w:tab w:val="num" w:pos="2982"/>
        </w:tabs>
        <w:ind w:left="2982" w:hanging="360"/>
      </w:pPr>
    </w:lvl>
    <w:lvl w:ilvl="7">
      <w:start w:val="1"/>
      <w:numFmt w:val="decimal"/>
      <w:lvlText w:val="%8."/>
      <w:lvlJc w:val="left"/>
      <w:pPr>
        <w:tabs>
          <w:tab w:val="num" w:pos="3342"/>
        </w:tabs>
        <w:ind w:left="3342" w:hanging="360"/>
      </w:pPr>
    </w:lvl>
    <w:lvl w:ilvl="8">
      <w:start w:val="1"/>
      <w:numFmt w:val="decimal"/>
      <w:lvlText w:val="%9."/>
      <w:lvlJc w:val="left"/>
      <w:pPr>
        <w:tabs>
          <w:tab w:val="num" w:pos="3702"/>
        </w:tabs>
        <w:ind w:left="3702" w:hanging="360"/>
      </w:pPr>
    </w:lvl>
  </w:abstractNum>
  <w:abstractNum w:abstractNumId="12" w15:restartNumberingAfterBreak="0">
    <w:nsid w:val="478C08FA"/>
    <w:multiLevelType w:val="hybridMultilevel"/>
    <w:tmpl w:val="013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B22C7"/>
    <w:multiLevelType w:val="hybridMultilevel"/>
    <w:tmpl w:val="D66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F2F4D"/>
    <w:multiLevelType w:val="hybridMultilevel"/>
    <w:tmpl w:val="C5B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06459"/>
    <w:multiLevelType w:val="hybridMultilevel"/>
    <w:tmpl w:val="D352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37D63"/>
    <w:multiLevelType w:val="hybridMultilevel"/>
    <w:tmpl w:val="3A0E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85023"/>
    <w:multiLevelType w:val="hybridMultilevel"/>
    <w:tmpl w:val="093E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402D9"/>
    <w:multiLevelType w:val="hybridMultilevel"/>
    <w:tmpl w:val="F78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00E2A"/>
    <w:multiLevelType w:val="hybridMultilevel"/>
    <w:tmpl w:val="293C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690563">
    <w:abstractNumId w:val="0"/>
  </w:num>
  <w:num w:numId="2" w16cid:durableId="1064572936">
    <w:abstractNumId w:val="4"/>
  </w:num>
  <w:num w:numId="3" w16cid:durableId="223377791">
    <w:abstractNumId w:val="1"/>
  </w:num>
  <w:num w:numId="4" w16cid:durableId="1792941671">
    <w:abstractNumId w:val="7"/>
  </w:num>
  <w:num w:numId="5" w16cid:durableId="1396009784">
    <w:abstractNumId w:val="12"/>
  </w:num>
  <w:num w:numId="6" w16cid:durableId="1372339341">
    <w:abstractNumId w:val="10"/>
  </w:num>
  <w:num w:numId="7" w16cid:durableId="963652466">
    <w:abstractNumId w:val="16"/>
  </w:num>
  <w:num w:numId="8" w16cid:durableId="1110592592">
    <w:abstractNumId w:val="14"/>
  </w:num>
  <w:num w:numId="9" w16cid:durableId="194009062">
    <w:abstractNumId w:val="2"/>
  </w:num>
  <w:num w:numId="10" w16cid:durableId="1951037963">
    <w:abstractNumId w:val="13"/>
  </w:num>
  <w:num w:numId="11" w16cid:durableId="840662192">
    <w:abstractNumId w:val="18"/>
  </w:num>
  <w:num w:numId="12" w16cid:durableId="2100321258">
    <w:abstractNumId w:val="8"/>
  </w:num>
  <w:num w:numId="13" w16cid:durableId="1158694168">
    <w:abstractNumId w:val="15"/>
  </w:num>
  <w:num w:numId="14" w16cid:durableId="767890877">
    <w:abstractNumId w:val="17"/>
  </w:num>
  <w:num w:numId="15" w16cid:durableId="1141994062">
    <w:abstractNumId w:val="3"/>
  </w:num>
  <w:num w:numId="16" w16cid:durableId="2071993872">
    <w:abstractNumId w:val="5"/>
  </w:num>
  <w:num w:numId="17" w16cid:durableId="2012566033">
    <w:abstractNumId w:val="6"/>
  </w:num>
  <w:num w:numId="18" w16cid:durableId="1788692530">
    <w:abstractNumId w:val="19"/>
  </w:num>
  <w:num w:numId="19" w16cid:durableId="1835031346">
    <w:abstractNumId w:val="11"/>
  </w:num>
  <w:num w:numId="20" w16cid:durableId="193344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07B2C"/>
    <w:rsid w:val="0001151F"/>
    <w:rsid w:val="00015CDB"/>
    <w:rsid w:val="000452AE"/>
    <w:rsid w:val="0005191B"/>
    <w:rsid w:val="00060EB8"/>
    <w:rsid w:val="000612AD"/>
    <w:rsid w:val="00075464"/>
    <w:rsid w:val="00083732"/>
    <w:rsid w:val="00087E91"/>
    <w:rsid w:val="00094DFA"/>
    <w:rsid w:val="000A4939"/>
    <w:rsid w:val="000C064D"/>
    <w:rsid w:val="000D50B9"/>
    <w:rsid w:val="000E6FDE"/>
    <w:rsid w:val="000E70FC"/>
    <w:rsid w:val="000F107C"/>
    <w:rsid w:val="000F53E6"/>
    <w:rsid w:val="001024DC"/>
    <w:rsid w:val="00106DBB"/>
    <w:rsid w:val="00114B15"/>
    <w:rsid w:val="00115BDF"/>
    <w:rsid w:val="00120958"/>
    <w:rsid w:val="001212FB"/>
    <w:rsid w:val="00122EB1"/>
    <w:rsid w:val="00126F86"/>
    <w:rsid w:val="0014111E"/>
    <w:rsid w:val="001456B7"/>
    <w:rsid w:val="00152F71"/>
    <w:rsid w:val="00157EC2"/>
    <w:rsid w:val="00173CC3"/>
    <w:rsid w:val="001741D1"/>
    <w:rsid w:val="00192E6C"/>
    <w:rsid w:val="00193870"/>
    <w:rsid w:val="001973EC"/>
    <w:rsid w:val="0019741F"/>
    <w:rsid w:val="001A1F02"/>
    <w:rsid w:val="001A2DB9"/>
    <w:rsid w:val="001A42FB"/>
    <w:rsid w:val="001A4BC2"/>
    <w:rsid w:val="001B062D"/>
    <w:rsid w:val="001B07A4"/>
    <w:rsid w:val="001B0AF2"/>
    <w:rsid w:val="001C19C6"/>
    <w:rsid w:val="001D3973"/>
    <w:rsid w:val="001E14FD"/>
    <w:rsid w:val="001F0E10"/>
    <w:rsid w:val="0020480C"/>
    <w:rsid w:val="00205610"/>
    <w:rsid w:val="00206788"/>
    <w:rsid w:val="00221008"/>
    <w:rsid w:val="00227706"/>
    <w:rsid w:val="00235BA7"/>
    <w:rsid w:val="00240F3B"/>
    <w:rsid w:val="002443C4"/>
    <w:rsid w:val="00245D27"/>
    <w:rsid w:val="00250AA5"/>
    <w:rsid w:val="00251E91"/>
    <w:rsid w:val="00295170"/>
    <w:rsid w:val="002A3B29"/>
    <w:rsid w:val="002B7CDA"/>
    <w:rsid w:val="002C07D9"/>
    <w:rsid w:val="002D2FF8"/>
    <w:rsid w:val="002D4E2F"/>
    <w:rsid w:val="00305649"/>
    <w:rsid w:val="00305E1A"/>
    <w:rsid w:val="00317529"/>
    <w:rsid w:val="003203DC"/>
    <w:rsid w:val="00351BAA"/>
    <w:rsid w:val="00374FCB"/>
    <w:rsid w:val="003760F0"/>
    <w:rsid w:val="00386426"/>
    <w:rsid w:val="003932D4"/>
    <w:rsid w:val="003A094B"/>
    <w:rsid w:val="003B1797"/>
    <w:rsid w:val="003B2430"/>
    <w:rsid w:val="003C0AE3"/>
    <w:rsid w:val="003C33A8"/>
    <w:rsid w:val="003C37B0"/>
    <w:rsid w:val="003C7C53"/>
    <w:rsid w:val="003E1867"/>
    <w:rsid w:val="003E242C"/>
    <w:rsid w:val="004146C4"/>
    <w:rsid w:val="004152D6"/>
    <w:rsid w:val="00416C66"/>
    <w:rsid w:val="00417AC8"/>
    <w:rsid w:val="00420DA0"/>
    <w:rsid w:val="00423248"/>
    <w:rsid w:val="00427D60"/>
    <w:rsid w:val="00433899"/>
    <w:rsid w:val="004519F2"/>
    <w:rsid w:val="00453DD6"/>
    <w:rsid w:val="00462E8E"/>
    <w:rsid w:val="00470DF3"/>
    <w:rsid w:val="004834EE"/>
    <w:rsid w:val="0048405D"/>
    <w:rsid w:val="00485234"/>
    <w:rsid w:val="004868FA"/>
    <w:rsid w:val="0048690C"/>
    <w:rsid w:val="0048722D"/>
    <w:rsid w:val="00494B9F"/>
    <w:rsid w:val="004A3F50"/>
    <w:rsid w:val="004A71B8"/>
    <w:rsid w:val="004C0547"/>
    <w:rsid w:val="004D0578"/>
    <w:rsid w:val="004D1E0B"/>
    <w:rsid w:val="004D53F1"/>
    <w:rsid w:val="004E1900"/>
    <w:rsid w:val="004F047A"/>
    <w:rsid w:val="004F43AA"/>
    <w:rsid w:val="00503AC5"/>
    <w:rsid w:val="005076FE"/>
    <w:rsid w:val="00525285"/>
    <w:rsid w:val="00527300"/>
    <w:rsid w:val="005344B5"/>
    <w:rsid w:val="005363DD"/>
    <w:rsid w:val="0054278F"/>
    <w:rsid w:val="005547AF"/>
    <w:rsid w:val="00565035"/>
    <w:rsid w:val="00576889"/>
    <w:rsid w:val="0057743A"/>
    <w:rsid w:val="00577A59"/>
    <w:rsid w:val="005801D5"/>
    <w:rsid w:val="005905AC"/>
    <w:rsid w:val="00595DF0"/>
    <w:rsid w:val="005A04DA"/>
    <w:rsid w:val="005A2418"/>
    <w:rsid w:val="005C2CF7"/>
    <w:rsid w:val="005C5856"/>
    <w:rsid w:val="005C5920"/>
    <w:rsid w:val="005D1D65"/>
    <w:rsid w:val="005E4439"/>
    <w:rsid w:val="005E48D1"/>
    <w:rsid w:val="005E51CD"/>
    <w:rsid w:val="005E6CA0"/>
    <w:rsid w:val="005E7E90"/>
    <w:rsid w:val="00605CEA"/>
    <w:rsid w:val="00607F9F"/>
    <w:rsid w:val="00610D46"/>
    <w:rsid w:val="00615390"/>
    <w:rsid w:val="00622B9C"/>
    <w:rsid w:val="006265EC"/>
    <w:rsid w:val="006267B9"/>
    <w:rsid w:val="0063692C"/>
    <w:rsid w:val="00636EE1"/>
    <w:rsid w:val="0064446E"/>
    <w:rsid w:val="006507F3"/>
    <w:rsid w:val="00655EF3"/>
    <w:rsid w:val="0067035E"/>
    <w:rsid w:val="00676679"/>
    <w:rsid w:val="00677B5D"/>
    <w:rsid w:val="00683629"/>
    <w:rsid w:val="006849E2"/>
    <w:rsid w:val="00684E9F"/>
    <w:rsid w:val="006862BA"/>
    <w:rsid w:val="00690441"/>
    <w:rsid w:val="00694FDA"/>
    <w:rsid w:val="006A11C9"/>
    <w:rsid w:val="006A35A0"/>
    <w:rsid w:val="006A37CC"/>
    <w:rsid w:val="006C7713"/>
    <w:rsid w:val="006D7846"/>
    <w:rsid w:val="006D7E56"/>
    <w:rsid w:val="006E29E2"/>
    <w:rsid w:val="006E2C4F"/>
    <w:rsid w:val="006E3A03"/>
    <w:rsid w:val="006E789A"/>
    <w:rsid w:val="006F0AC2"/>
    <w:rsid w:val="006F5DE3"/>
    <w:rsid w:val="0070427D"/>
    <w:rsid w:val="00710780"/>
    <w:rsid w:val="00710D5D"/>
    <w:rsid w:val="00711BE6"/>
    <w:rsid w:val="00712012"/>
    <w:rsid w:val="00714D99"/>
    <w:rsid w:val="007242AE"/>
    <w:rsid w:val="007250FF"/>
    <w:rsid w:val="007347F1"/>
    <w:rsid w:val="007368AC"/>
    <w:rsid w:val="00737DA4"/>
    <w:rsid w:val="007537CA"/>
    <w:rsid w:val="00756C86"/>
    <w:rsid w:val="00765FC3"/>
    <w:rsid w:val="00766AEF"/>
    <w:rsid w:val="0078185F"/>
    <w:rsid w:val="00785C72"/>
    <w:rsid w:val="007B0B5F"/>
    <w:rsid w:val="007B31FC"/>
    <w:rsid w:val="007C29B5"/>
    <w:rsid w:val="007C4F9E"/>
    <w:rsid w:val="007C5B49"/>
    <w:rsid w:val="007C6AE0"/>
    <w:rsid w:val="007D03F1"/>
    <w:rsid w:val="007D7850"/>
    <w:rsid w:val="007E7652"/>
    <w:rsid w:val="007F7835"/>
    <w:rsid w:val="00807590"/>
    <w:rsid w:val="00815846"/>
    <w:rsid w:val="0082031D"/>
    <w:rsid w:val="00820C0C"/>
    <w:rsid w:val="00820C6F"/>
    <w:rsid w:val="00824990"/>
    <w:rsid w:val="0082660E"/>
    <w:rsid w:val="0083587E"/>
    <w:rsid w:val="00842F75"/>
    <w:rsid w:val="00843E9D"/>
    <w:rsid w:val="00851E15"/>
    <w:rsid w:val="00857C98"/>
    <w:rsid w:val="00860108"/>
    <w:rsid w:val="008770D0"/>
    <w:rsid w:val="0088387F"/>
    <w:rsid w:val="00885744"/>
    <w:rsid w:val="008A483D"/>
    <w:rsid w:val="008A5143"/>
    <w:rsid w:val="008B5A91"/>
    <w:rsid w:val="008C1D59"/>
    <w:rsid w:val="008E0343"/>
    <w:rsid w:val="008E62FA"/>
    <w:rsid w:val="008F7552"/>
    <w:rsid w:val="008F7B05"/>
    <w:rsid w:val="00900BB4"/>
    <w:rsid w:val="00913C8C"/>
    <w:rsid w:val="00923ED8"/>
    <w:rsid w:val="00924D8E"/>
    <w:rsid w:val="0092768B"/>
    <w:rsid w:val="0094576C"/>
    <w:rsid w:val="00950C33"/>
    <w:rsid w:val="00957724"/>
    <w:rsid w:val="00972820"/>
    <w:rsid w:val="009753BC"/>
    <w:rsid w:val="00975D62"/>
    <w:rsid w:val="009965A7"/>
    <w:rsid w:val="009A73AC"/>
    <w:rsid w:val="009B39EF"/>
    <w:rsid w:val="009B577E"/>
    <w:rsid w:val="009C6141"/>
    <w:rsid w:val="009D17CB"/>
    <w:rsid w:val="009D3D6B"/>
    <w:rsid w:val="009E3750"/>
    <w:rsid w:val="009E45F1"/>
    <w:rsid w:val="009E508B"/>
    <w:rsid w:val="00A00280"/>
    <w:rsid w:val="00A129DD"/>
    <w:rsid w:val="00A21305"/>
    <w:rsid w:val="00A22BF7"/>
    <w:rsid w:val="00A25950"/>
    <w:rsid w:val="00A42295"/>
    <w:rsid w:val="00A44048"/>
    <w:rsid w:val="00A62B28"/>
    <w:rsid w:val="00A62E75"/>
    <w:rsid w:val="00A72917"/>
    <w:rsid w:val="00A81A7A"/>
    <w:rsid w:val="00A83A8A"/>
    <w:rsid w:val="00A85A44"/>
    <w:rsid w:val="00A94002"/>
    <w:rsid w:val="00AA7F4D"/>
    <w:rsid w:val="00AB5FEA"/>
    <w:rsid w:val="00AC1576"/>
    <w:rsid w:val="00AD2331"/>
    <w:rsid w:val="00AD2EE6"/>
    <w:rsid w:val="00AE6E5D"/>
    <w:rsid w:val="00AF07C1"/>
    <w:rsid w:val="00AF2C9D"/>
    <w:rsid w:val="00B023DF"/>
    <w:rsid w:val="00B049A0"/>
    <w:rsid w:val="00B146C4"/>
    <w:rsid w:val="00B146D0"/>
    <w:rsid w:val="00B16293"/>
    <w:rsid w:val="00B2435C"/>
    <w:rsid w:val="00B365E7"/>
    <w:rsid w:val="00B46F10"/>
    <w:rsid w:val="00B54894"/>
    <w:rsid w:val="00B55D69"/>
    <w:rsid w:val="00B60F7D"/>
    <w:rsid w:val="00B61199"/>
    <w:rsid w:val="00B667CA"/>
    <w:rsid w:val="00B67DC8"/>
    <w:rsid w:val="00B75323"/>
    <w:rsid w:val="00B82672"/>
    <w:rsid w:val="00B95276"/>
    <w:rsid w:val="00BA08AE"/>
    <w:rsid w:val="00BD1980"/>
    <w:rsid w:val="00BD2EA3"/>
    <w:rsid w:val="00BF2416"/>
    <w:rsid w:val="00BF3712"/>
    <w:rsid w:val="00BF4DB4"/>
    <w:rsid w:val="00C12D47"/>
    <w:rsid w:val="00C12DAA"/>
    <w:rsid w:val="00C31187"/>
    <w:rsid w:val="00C50F32"/>
    <w:rsid w:val="00C53756"/>
    <w:rsid w:val="00C61BCB"/>
    <w:rsid w:val="00C7240A"/>
    <w:rsid w:val="00C97110"/>
    <w:rsid w:val="00CA7DD7"/>
    <w:rsid w:val="00CB1C7B"/>
    <w:rsid w:val="00CB48CB"/>
    <w:rsid w:val="00CC0F92"/>
    <w:rsid w:val="00CC792C"/>
    <w:rsid w:val="00CD7BE2"/>
    <w:rsid w:val="00CE5ED7"/>
    <w:rsid w:val="00CF11C5"/>
    <w:rsid w:val="00CF511E"/>
    <w:rsid w:val="00D1508D"/>
    <w:rsid w:val="00D16669"/>
    <w:rsid w:val="00D20579"/>
    <w:rsid w:val="00D20B40"/>
    <w:rsid w:val="00D34941"/>
    <w:rsid w:val="00D46690"/>
    <w:rsid w:val="00D62C0A"/>
    <w:rsid w:val="00D70472"/>
    <w:rsid w:val="00D7289D"/>
    <w:rsid w:val="00D729F4"/>
    <w:rsid w:val="00D83189"/>
    <w:rsid w:val="00D9277F"/>
    <w:rsid w:val="00D9649D"/>
    <w:rsid w:val="00D96D71"/>
    <w:rsid w:val="00DB0AE7"/>
    <w:rsid w:val="00DD1AF3"/>
    <w:rsid w:val="00DD5A2E"/>
    <w:rsid w:val="00DE322C"/>
    <w:rsid w:val="00DF08AD"/>
    <w:rsid w:val="00DF5A8A"/>
    <w:rsid w:val="00E00351"/>
    <w:rsid w:val="00E04786"/>
    <w:rsid w:val="00E05458"/>
    <w:rsid w:val="00E11AC0"/>
    <w:rsid w:val="00E228B5"/>
    <w:rsid w:val="00E27AF5"/>
    <w:rsid w:val="00E53676"/>
    <w:rsid w:val="00E71CD7"/>
    <w:rsid w:val="00EA2868"/>
    <w:rsid w:val="00EA6E90"/>
    <w:rsid w:val="00EB591D"/>
    <w:rsid w:val="00EC5C05"/>
    <w:rsid w:val="00EF0BBB"/>
    <w:rsid w:val="00F06CF5"/>
    <w:rsid w:val="00F13E10"/>
    <w:rsid w:val="00F26200"/>
    <w:rsid w:val="00F41FE5"/>
    <w:rsid w:val="00F42639"/>
    <w:rsid w:val="00F50F07"/>
    <w:rsid w:val="00F5581C"/>
    <w:rsid w:val="00F62B82"/>
    <w:rsid w:val="00F630CF"/>
    <w:rsid w:val="00F976B7"/>
    <w:rsid w:val="00FB58DF"/>
    <w:rsid w:val="00FB73E1"/>
    <w:rsid w:val="00FC1162"/>
    <w:rsid w:val="00FC2D93"/>
    <w:rsid w:val="00FD65F5"/>
    <w:rsid w:val="00FE39EB"/>
    <w:rsid w:val="00FF40B2"/>
    <w:rsid w:val="00F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80759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07590"/>
    <w:pPr>
      <w:spacing w:after="120"/>
    </w:pPr>
  </w:style>
  <w:style w:type="character" w:customStyle="1" w:styleId="BodyTextChar">
    <w:name w:val="Body Text Char"/>
    <w:basedOn w:val="DefaultParagraphFont"/>
    <w:link w:val="BodyText"/>
    <w:uiPriority w:val="99"/>
    <w:semiHidden/>
    <w:rsid w:val="00807590"/>
  </w:style>
  <w:style w:type="table" w:styleId="TableGrid">
    <w:name w:val="Table Grid"/>
    <w:basedOn w:val="TableNormal"/>
    <w:uiPriority w:val="39"/>
    <w:rsid w:val="00F426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147">
      <w:bodyDiv w:val="1"/>
      <w:marLeft w:val="0"/>
      <w:marRight w:val="0"/>
      <w:marTop w:val="0"/>
      <w:marBottom w:val="0"/>
      <w:divBdr>
        <w:top w:val="none" w:sz="0" w:space="0" w:color="auto"/>
        <w:left w:val="none" w:sz="0" w:space="0" w:color="auto"/>
        <w:bottom w:val="none" w:sz="0" w:space="0" w:color="auto"/>
        <w:right w:val="none" w:sz="0" w:space="0" w:color="auto"/>
      </w:divBdr>
      <w:divsChild>
        <w:div w:id="1090002310">
          <w:marLeft w:val="446"/>
          <w:marRight w:val="0"/>
          <w:marTop w:val="0"/>
          <w:marBottom w:val="0"/>
          <w:divBdr>
            <w:top w:val="none" w:sz="0" w:space="0" w:color="auto"/>
            <w:left w:val="none" w:sz="0" w:space="0" w:color="auto"/>
            <w:bottom w:val="none" w:sz="0" w:space="0" w:color="auto"/>
            <w:right w:val="none" w:sz="0" w:space="0" w:color="auto"/>
          </w:divBdr>
        </w:div>
        <w:div w:id="61223399">
          <w:marLeft w:val="446"/>
          <w:marRight w:val="0"/>
          <w:marTop w:val="0"/>
          <w:marBottom w:val="0"/>
          <w:divBdr>
            <w:top w:val="none" w:sz="0" w:space="0" w:color="auto"/>
            <w:left w:val="none" w:sz="0" w:space="0" w:color="auto"/>
            <w:bottom w:val="none" w:sz="0" w:space="0" w:color="auto"/>
            <w:right w:val="none" w:sz="0" w:space="0" w:color="auto"/>
          </w:divBdr>
        </w:div>
      </w:divsChild>
    </w:div>
    <w:div w:id="58402870">
      <w:bodyDiv w:val="1"/>
      <w:marLeft w:val="0"/>
      <w:marRight w:val="0"/>
      <w:marTop w:val="0"/>
      <w:marBottom w:val="0"/>
      <w:divBdr>
        <w:top w:val="none" w:sz="0" w:space="0" w:color="auto"/>
        <w:left w:val="none" w:sz="0" w:space="0" w:color="auto"/>
        <w:bottom w:val="none" w:sz="0" w:space="0" w:color="auto"/>
        <w:right w:val="none" w:sz="0" w:space="0" w:color="auto"/>
      </w:divBdr>
    </w:div>
    <w:div w:id="63577254">
      <w:bodyDiv w:val="1"/>
      <w:marLeft w:val="0"/>
      <w:marRight w:val="0"/>
      <w:marTop w:val="0"/>
      <w:marBottom w:val="0"/>
      <w:divBdr>
        <w:top w:val="none" w:sz="0" w:space="0" w:color="auto"/>
        <w:left w:val="none" w:sz="0" w:space="0" w:color="auto"/>
        <w:bottom w:val="none" w:sz="0" w:space="0" w:color="auto"/>
        <w:right w:val="none" w:sz="0" w:space="0" w:color="auto"/>
      </w:divBdr>
    </w:div>
    <w:div w:id="550578815">
      <w:bodyDiv w:val="1"/>
      <w:marLeft w:val="0"/>
      <w:marRight w:val="0"/>
      <w:marTop w:val="0"/>
      <w:marBottom w:val="0"/>
      <w:divBdr>
        <w:top w:val="none" w:sz="0" w:space="0" w:color="auto"/>
        <w:left w:val="none" w:sz="0" w:space="0" w:color="auto"/>
        <w:bottom w:val="none" w:sz="0" w:space="0" w:color="auto"/>
        <w:right w:val="none" w:sz="0" w:space="0" w:color="auto"/>
      </w:divBdr>
    </w:div>
    <w:div w:id="645010410">
      <w:bodyDiv w:val="1"/>
      <w:marLeft w:val="0"/>
      <w:marRight w:val="0"/>
      <w:marTop w:val="0"/>
      <w:marBottom w:val="0"/>
      <w:divBdr>
        <w:top w:val="none" w:sz="0" w:space="0" w:color="auto"/>
        <w:left w:val="none" w:sz="0" w:space="0" w:color="auto"/>
        <w:bottom w:val="none" w:sz="0" w:space="0" w:color="auto"/>
        <w:right w:val="none" w:sz="0" w:space="0" w:color="auto"/>
      </w:divBdr>
    </w:div>
    <w:div w:id="730034592">
      <w:bodyDiv w:val="1"/>
      <w:marLeft w:val="0"/>
      <w:marRight w:val="0"/>
      <w:marTop w:val="0"/>
      <w:marBottom w:val="0"/>
      <w:divBdr>
        <w:top w:val="none" w:sz="0" w:space="0" w:color="auto"/>
        <w:left w:val="none" w:sz="0" w:space="0" w:color="auto"/>
        <w:bottom w:val="none" w:sz="0" w:space="0" w:color="auto"/>
        <w:right w:val="none" w:sz="0" w:space="0" w:color="auto"/>
      </w:divBdr>
    </w:div>
    <w:div w:id="810903596">
      <w:bodyDiv w:val="1"/>
      <w:marLeft w:val="0"/>
      <w:marRight w:val="0"/>
      <w:marTop w:val="0"/>
      <w:marBottom w:val="0"/>
      <w:divBdr>
        <w:top w:val="none" w:sz="0" w:space="0" w:color="auto"/>
        <w:left w:val="none" w:sz="0" w:space="0" w:color="auto"/>
        <w:bottom w:val="none" w:sz="0" w:space="0" w:color="auto"/>
        <w:right w:val="none" w:sz="0" w:space="0" w:color="auto"/>
      </w:divBdr>
    </w:div>
    <w:div w:id="948508444">
      <w:bodyDiv w:val="1"/>
      <w:marLeft w:val="0"/>
      <w:marRight w:val="0"/>
      <w:marTop w:val="0"/>
      <w:marBottom w:val="0"/>
      <w:divBdr>
        <w:top w:val="none" w:sz="0" w:space="0" w:color="auto"/>
        <w:left w:val="none" w:sz="0" w:space="0" w:color="auto"/>
        <w:bottom w:val="none" w:sz="0" w:space="0" w:color="auto"/>
        <w:right w:val="none" w:sz="0" w:space="0" w:color="auto"/>
      </w:divBdr>
    </w:div>
    <w:div w:id="1019814591">
      <w:bodyDiv w:val="1"/>
      <w:marLeft w:val="0"/>
      <w:marRight w:val="0"/>
      <w:marTop w:val="0"/>
      <w:marBottom w:val="0"/>
      <w:divBdr>
        <w:top w:val="none" w:sz="0" w:space="0" w:color="auto"/>
        <w:left w:val="none" w:sz="0" w:space="0" w:color="auto"/>
        <w:bottom w:val="none" w:sz="0" w:space="0" w:color="auto"/>
        <w:right w:val="none" w:sz="0" w:space="0" w:color="auto"/>
      </w:divBdr>
    </w:div>
    <w:div w:id="1047683596">
      <w:bodyDiv w:val="1"/>
      <w:marLeft w:val="0"/>
      <w:marRight w:val="0"/>
      <w:marTop w:val="0"/>
      <w:marBottom w:val="0"/>
      <w:divBdr>
        <w:top w:val="none" w:sz="0" w:space="0" w:color="auto"/>
        <w:left w:val="none" w:sz="0" w:space="0" w:color="auto"/>
        <w:bottom w:val="none" w:sz="0" w:space="0" w:color="auto"/>
        <w:right w:val="none" w:sz="0" w:space="0" w:color="auto"/>
      </w:divBdr>
    </w:div>
    <w:div w:id="1166480376">
      <w:bodyDiv w:val="1"/>
      <w:marLeft w:val="0"/>
      <w:marRight w:val="0"/>
      <w:marTop w:val="0"/>
      <w:marBottom w:val="0"/>
      <w:divBdr>
        <w:top w:val="none" w:sz="0" w:space="0" w:color="auto"/>
        <w:left w:val="none" w:sz="0" w:space="0" w:color="auto"/>
        <w:bottom w:val="none" w:sz="0" w:space="0" w:color="auto"/>
        <w:right w:val="none" w:sz="0" w:space="0" w:color="auto"/>
      </w:divBdr>
    </w:div>
    <w:div w:id="1288246112">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673952352">
      <w:bodyDiv w:val="1"/>
      <w:marLeft w:val="0"/>
      <w:marRight w:val="0"/>
      <w:marTop w:val="0"/>
      <w:marBottom w:val="0"/>
      <w:divBdr>
        <w:top w:val="none" w:sz="0" w:space="0" w:color="auto"/>
        <w:left w:val="none" w:sz="0" w:space="0" w:color="auto"/>
        <w:bottom w:val="none" w:sz="0" w:space="0" w:color="auto"/>
        <w:right w:val="none" w:sz="0" w:space="0" w:color="auto"/>
      </w:divBdr>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so.org/standard/68383.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so.org/standard/63711.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so.org/iso-9001-quality-managemen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1034</Words>
  <Characters>6381</Characters>
  <Application>Microsoft Office Word</Application>
  <DocSecurity>0</DocSecurity>
  <Lines>159</Lines>
  <Paragraphs>92</Paragraphs>
  <ScaleCrop>false</ScaleCrop>
  <HeadingPairs>
    <vt:vector size="2" baseType="variant">
      <vt:variant>
        <vt:lpstr>Title</vt:lpstr>
      </vt:variant>
      <vt:variant>
        <vt:i4>1</vt:i4>
      </vt:variant>
    </vt:vector>
  </HeadingPairs>
  <TitlesOfParts>
    <vt:vector size="1" baseType="lpstr">
      <vt:lpstr>Understanding Verification and Validation in an AVCDL Context</vt:lpstr>
    </vt:vector>
  </TitlesOfParts>
  <Manager/>
  <Company>Motional</Company>
  <LinksUpToDate>false</LinksUpToDate>
  <CharactersWithSpaces>7323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Verification and Validation in an AVCDL Context</dc:title>
  <dc:subject>verification and validation</dc:subject>
  <dc:creator>Charles Wilson</dc:creator>
  <cp:keywords/>
  <dc:description>This work was created by Motional and is licensed under the Creative Commons Attribution-Share Alike (CC BY-SA-4.0) License.
https://creativecommons.org/licenses/by/4.0/legalcode
</dc:description>
  <cp:lastModifiedBy>Wilson, Charles</cp:lastModifiedBy>
  <cp:revision>3</cp:revision>
  <dcterms:created xsi:type="dcterms:W3CDTF">2022-08-08T18:34:00Z</dcterms:created>
  <dcterms:modified xsi:type="dcterms:W3CDTF">2022-08-08T18:37:00Z</dcterms:modified>
  <cp:category/>
</cp:coreProperties>
</file>