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71AC" w14:textId="722B4F26" w:rsidR="00E81FE4" w:rsidRDefault="00C6610C">
      <w:pPr>
        <w:pStyle w:val="Title"/>
        <w:jc w:val="center"/>
      </w:pPr>
      <w:r>
        <w:t xml:space="preserve">Understanding the </w:t>
      </w:r>
      <w:r w:rsidR="00FE5DEC">
        <w:t>AVPDL</w:t>
      </w:r>
    </w:p>
    <w:p w14:paraId="2AF47B77" w14:textId="77777777" w:rsidR="00C6610C" w:rsidRDefault="00C6610C" w:rsidP="00C6610C">
      <w:pPr>
        <w:pStyle w:val="Heading1"/>
      </w:pPr>
      <w:bookmarkStart w:id="0" w:name="_i2dwbdcq8b4o" w:colFirst="0" w:colLast="0"/>
      <w:bookmarkEnd w:id="0"/>
      <w:r>
        <w:t>Revision</w:t>
      </w:r>
    </w:p>
    <w:p w14:paraId="00316006" w14:textId="24D33ABC" w:rsidR="00C6610C" w:rsidRPr="003A42ED" w:rsidRDefault="00C6610C" w:rsidP="00C6610C">
      <w:r>
        <w:t xml:space="preserve">Version </w:t>
      </w:r>
      <w:r w:rsidR="00D503B3">
        <w:t>4</w:t>
      </w:r>
    </w:p>
    <w:p w14:paraId="013D66DA" w14:textId="2A62AE1F" w:rsidR="00C6610C" w:rsidRDefault="00C6610C" w:rsidP="00C6610C">
      <w:pPr>
        <w:jc w:val="both"/>
      </w:pPr>
      <w:r>
        <w:fldChar w:fldCharType="begin"/>
      </w:r>
      <w:r>
        <w:instrText xml:space="preserve"> DATE \@ "M/d/yy h:mm am/pm" </w:instrText>
      </w:r>
      <w:r>
        <w:fldChar w:fldCharType="separate"/>
      </w:r>
      <w:r w:rsidR="00D503B3">
        <w:rPr>
          <w:noProof/>
        </w:rPr>
        <w:t>4/22/24 10:32 AM</w:t>
      </w:r>
      <w:r>
        <w:fldChar w:fldCharType="end"/>
      </w:r>
    </w:p>
    <w:p w14:paraId="2B9F742B" w14:textId="77777777" w:rsidR="00C6610C" w:rsidRDefault="00C6610C" w:rsidP="00C6610C">
      <w:pPr>
        <w:pStyle w:val="Heading1"/>
      </w:pPr>
      <w:r>
        <w:t>Author</w:t>
      </w:r>
    </w:p>
    <w:p w14:paraId="1F385599" w14:textId="77777777" w:rsidR="00C6610C" w:rsidRDefault="00C6610C" w:rsidP="00C6610C">
      <w:pPr>
        <w:jc w:val="both"/>
      </w:pPr>
      <w:r>
        <w:t>Charles Wilson</w:t>
      </w:r>
    </w:p>
    <w:p w14:paraId="5D89BA82" w14:textId="77777777" w:rsidR="00E81FE4" w:rsidRDefault="00FE5DEC">
      <w:pPr>
        <w:pStyle w:val="Heading1"/>
      </w:pPr>
      <w:r>
        <w:t>Abstract</w:t>
      </w:r>
    </w:p>
    <w:p w14:paraId="07C50424" w14:textId="5680FBA9" w:rsidR="00E81FE4" w:rsidRPr="000F4D5C" w:rsidRDefault="00FE5DEC" w:rsidP="00C6610C">
      <w:pPr>
        <w:jc w:val="both"/>
      </w:pPr>
      <w:r w:rsidRPr="000F4D5C">
        <w:t>This document describes a proposal for a framework with which to manage the complete product development lifecycle.</w:t>
      </w:r>
    </w:p>
    <w:p w14:paraId="42091E31" w14:textId="77777777" w:rsidR="00C6610C" w:rsidRDefault="00C6610C" w:rsidP="00C6610C">
      <w:pPr>
        <w:pStyle w:val="Heading1"/>
      </w:pPr>
      <w:bookmarkStart w:id="1" w:name="_m68b5czab5ec" w:colFirst="0" w:colLast="0"/>
      <w:bookmarkEnd w:id="1"/>
      <w:r>
        <w:t>Motivation</w:t>
      </w:r>
    </w:p>
    <w:p w14:paraId="72D81D42" w14:textId="2D437988" w:rsidR="00C6610C" w:rsidRDefault="00C6610C" w:rsidP="00C6610C">
      <w:pPr>
        <w:spacing w:after="240"/>
        <w:jc w:val="both"/>
      </w:pPr>
      <w:r>
        <w:t xml:space="preserve">This document is motivated by the need to ensure a proper understanding of the basis of the </w:t>
      </w:r>
      <w:r w:rsidR="00DB5D7A" w:rsidRPr="000F4D5C">
        <w:t>product development lifecycle</w:t>
      </w:r>
      <w:r>
        <w:t>.</w:t>
      </w:r>
    </w:p>
    <w:p w14:paraId="67E7568C" w14:textId="77777777" w:rsidR="00C6610C" w:rsidRDefault="00C6610C" w:rsidP="00C6610C">
      <w:pPr>
        <w:pStyle w:val="Heading1"/>
      </w:pPr>
      <w:r>
        <w:t>Audience</w:t>
      </w:r>
    </w:p>
    <w:p w14:paraId="30F03684" w14:textId="45F9FB63" w:rsidR="00C6610C" w:rsidRDefault="00C6610C" w:rsidP="00C6610C">
      <w:pPr>
        <w:spacing w:after="240"/>
        <w:jc w:val="both"/>
      </w:pPr>
      <w:r>
        <w:t>The audience of this document are those tasked with creating a development lifecycle.</w:t>
      </w:r>
    </w:p>
    <w:p w14:paraId="5A281A27" w14:textId="77777777" w:rsidR="00C6610C" w:rsidRDefault="00C6610C" w:rsidP="00C6610C">
      <w:pPr>
        <w:pStyle w:val="Heading1"/>
        <w:jc w:val="both"/>
      </w:pPr>
      <w:r>
        <w:t>License</w:t>
      </w:r>
    </w:p>
    <w:p w14:paraId="4F803205" w14:textId="77777777" w:rsidR="00C6610C" w:rsidRDefault="00C6610C" w:rsidP="00C6610C">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Pr>
          <w:b/>
          <w:bCs/>
          <w:lang w:val="en-US"/>
        </w:rPr>
        <w:t xml:space="preserve"> BY</w:t>
      </w:r>
      <w:r w:rsidRPr="00144DE6">
        <w:rPr>
          <w:b/>
          <w:bCs/>
          <w:lang w:val="en-US"/>
        </w:rPr>
        <w:t>-SA</w:t>
      </w:r>
      <w:r>
        <w:rPr>
          <w:b/>
          <w:bCs/>
          <w:lang w:val="en-US"/>
        </w:rPr>
        <w:t>-4.0</w:t>
      </w:r>
      <w:r w:rsidRPr="00144DE6">
        <w:rPr>
          <w:b/>
          <w:bCs/>
          <w:lang w:val="en-US"/>
        </w:rPr>
        <w:t>)</w:t>
      </w:r>
      <w:r w:rsidRPr="00144DE6">
        <w:rPr>
          <w:lang w:val="en-US"/>
        </w:rPr>
        <w:t xml:space="preserve"> License</w:t>
      </w:r>
      <w:r w:rsidRPr="00533832">
        <w:t>.</w:t>
      </w:r>
    </w:p>
    <w:p w14:paraId="040BBA38" w14:textId="77777777" w:rsidR="00C6610C" w:rsidRDefault="00000000" w:rsidP="00C6610C">
      <w:pPr>
        <w:jc w:val="both"/>
      </w:pPr>
      <w:hyperlink r:id="rId7" w:history="1">
        <w:r w:rsidR="00C6610C" w:rsidRPr="00FE6B19">
          <w:rPr>
            <w:rStyle w:val="Hyperlink"/>
            <w:rFonts w:ascii="Courier New" w:hAnsi="Courier New" w:cs="Courier New"/>
            <w:b/>
            <w:bCs/>
          </w:rPr>
          <w:t>https://creativecommons.org/licenses/by/4.0/legalcode</w:t>
        </w:r>
      </w:hyperlink>
    </w:p>
    <w:p w14:paraId="5A012026" w14:textId="77777777" w:rsidR="00C6610C" w:rsidRDefault="00C6610C">
      <w:pPr>
        <w:rPr>
          <w:sz w:val="40"/>
          <w:szCs w:val="40"/>
        </w:rPr>
      </w:pPr>
      <w:r>
        <w:br w:type="page"/>
      </w:r>
    </w:p>
    <w:p w14:paraId="2C3C96AC" w14:textId="182EE482" w:rsidR="00E81FE4" w:rsidRDefault="00FE5DEC">
      <w:pPr>
        <w:pStyle w:val="Heading1"/>
      </w:pPr>
      <w:r>
        <w:lastRenderedPageBreak/>
        <w:t>Overview</w:t>
      </w:r>
    </w:p>
    <w:p w14:paraId="2B6D03CD" w14:textId="6D5F8967" w:rsidR="00E81FE4" w:rsidRPr="000F4D5C" w:rsidRDefault="00395D8B" w:rsidP="00C6610C">
      <w:pPr>
        <w:jc w:val="both"/>
      </w:pPr>
      <w:r>
        <w:t>When</w:t>
      </w:r>
      <w:r w:rsidR="00FE5DEC" w:rsidRPr="000F4D5C">
        <w:t xml:space="preserve"> the goal of </w:t>
      </w:r>
      <w:r>
        <w:t>a</w:t>
      </w:r>
      <w:r w:rsidR="00FE5DEC" w:rsidRPr="000F4D5C">
        <w:t xml:space="preserve"> company is to produce safety-critical systems in the form of autonomous vehicles, it </w:t>
      </w:r>
      <w:r>
        <w:t xml:space="preserve">is critical to appreciate that this product </w:t>
      </w:r>
      <w:r w:rsidR="00FE5DEC" w:rsidRPr="000F4D5C">
        <w:t xml:space="preserve">will be subject to various regulatory and statutory bodies and standards. These include </w:t>
      </w:r>
      <w:r w:rsidR="00FE5DEC" w:rsidRPr="00395D8B">
        <w:rPr>
          <w:b/>
          <w:bCs/>
        </w:rPr>
        <w:t>ISO 900</w:t>
      </w:r>
      <w:r w:rsidRPr="00395D8B">
        <w:rPr>
          <w:b/>
          <w:bCs/>
        </w:rPr>
        <w:t>0</w:t>
      </w:r>
      <w:r>
        <w:t xml:space="preserve"> </w:t>
      </w:r>
      <w:r w:rsidRPr="00395D8B">
        <w:rPr>
          <w:b/>
          <w:bCs/>
          <w:color w:val="0070C0"/>
          <w:vertAlign w:val="superscript"/>
        </w:rPr>
        <w:t>[5]</w:t>
      </w:r>
      <w:r w:rsidR="00FE5DEC" w:rsidRPr="000F4D5C">
        <w:t xml:space="preserve"> (quality), </w:t>
      </w:r>
      <w:r w:rsidR="00FE5DEC" w:rsidRPr="00395D8B">
        <w:rPr>
          <w:b/>
          <w:bCs/>
        </w:rPr>
        <w:t>ISO 26262</w:t>
      </w:r>
      <w:r>
        <w:t xml:space="preserve"> </w:t>
      </w:r>
      <w:r w:rsidRPr="00395D8B">
        <w:rPr>
          <w:b/>
          <w:bCs/>
          <w:color w:val="0070C0"/>
          <w:vertAlign w:val="superscript"/>
        </w:rPr>
        <w:t>[</w:t>
      </w:r>
      <w:r>
        <w:rPr>
          <w:b/>
          <w:bCs/>
          <w:color w:val="0070C0"/>
          <w:vertAlign w:val="superscript"/>
        </w:rPr>
        <w:t>3</w:t>
      </w:r>
      <w:r w:rsidRPr="00395D8B">
        <w:rPr>
          <w:b/>
          <w:bCs/>
          <w:color w:val="0070C0"/>
          <w:vertAlign w:val="superscript"/>
        </w:rPr>
        <w:t>]</w:t>
      </w:r>
      <w:r w:rsidR="00FE5DEC" w:rsidRPr="000F4D5C">
        <w:t xml:space="preserve"> (safety) and </w:t>
      </w:r>
      <w:r w:rsidR="00FE5DEC" w:rsidRPr="00395D8B">
        <w:rPr>
          <w:b/>
          <w:bCs/>
        </w:rPr>
        <w:t>ISO</w:t>
      </w:r>
      <w:r>
        <w:rPr>
          <w:b/>
          <w:bCs/>
        </w:rPr>
        <w:t>/SAE</w:t>
      </w:r>
      <w:r w:rsidR="00FE5DEC" w:rsidRPr="00395D8B">
        <w:rPr>
          <w:b/>
          <w:bCs/>
        </w:rPr>
        <w:t xml:space="preserve"> 21434</w:t>
      </w:r>
      <w:r>
        <w:t xml:space="preserve"> </w:t>
      </w:r>
      <w:r w:rsidRPr="00395D8B">
        <w:rPr>
          <w:b/>
          <w:bCs/>
          <w:color w:val="0070C0"/>
          <w:vertAlign w:val="superscript"/>
        </w:rPr>
        <w:t>[</w:t>
      </w:r>
      <w:r>
        <w:rPr>
          <w:b/>
          <w:bCs/>
          <w:color w:val="0070C0"/>
          <w:vertAlign w:val="superscript"/>
        </w:rPr>
        <w:t>4</w:t>
      </w:r>
      <w:r w:rsidRPr="00395D8B">
        <w:rPr>
          <w:b/>
          <w:bCs/>
          <w:color w:val="0070C0"/>
          <w:vertAlign w:val="superscript"/>
        </w:rPr>
        <w:t>]</w:t>
      </w:r>
      <w:r w:rsidR="00FE5DEC" w:rsidRPr="000F4D5C">
        <w:t xml:space="preserve"> (cybersecurity). Implicit in compliance with these standards is the compliance with a host of others upon which these rest. These include </w:t>
      </w:r>
      <w:r w:rsidR="00FE5DEC" w:rsidRPr="00395D8B">
        <w:rPr>
          <w:b/>
          <w:bCs/>
        </w:rPr>
        <w:t>ISO</w:t>
      </w:r>
      <w:r w:rsidR="002F2845">
        <w:rPr>
          <w:b/>
          <w:bCs/>
        </w:rPr>
        <w:t>/IEC</w:t>
      </w:r>
      <w:r w:rsidR="00FE5DEC" w:rsidRPr="00395D8B">
        <w:rPr>
          <w:b/>
          <w:bCs/>
        </w:rPr>
        <w:t xml:space="preserve"> 152</w:t>
      </w:r>
      <w:r w:rsidR="002E736C" w:rsidRPr="00395D8B">
        <w:rPr>
          <w:b/>
          <w:bCs/>
        </w:rPr>
        <w:t>8</w:t>
      </w:r>
      <w:r w:rsidR="00FE5DEC" w:rsidRPr="00395D8B">
        <w:rPr>
          <w:b/>
          <w:bCs/>
        </w:rPr>
        <w:t>8</w:t>
      </w:r>
      <w:r>
        <w:t xml:space="preserve"> </w:t>
      </w:r>
      <w:r w:rsidRPr="00395D8B">
        <w:rPr>
          <w:b/>
          <w:bCs/>
          <w:color w:val="0070C0"/>
          <w:vertAlign w:val="superscript"/>
        </w:rPr>
        <w:t>[1]</w:t>
      </w:r>
      <w:r w:rsidR="00FE5DEC" w:rsidRPr="000F4D5C">
        <w:t xml:space="preserve"> (systems lifecycle) and </w:t>
      </w:r>
      <w:r w:rsidR="00FE5DEC" w:rsidRPr="00395D8B">
        <w:rPr>
          <w:b/>
          <w:bCs/>
        </w:rPr>
        <w:t>ISO</w:t>
      </w:r>
      <w:r w:rsidR="002F2845">
        <w:rPr>
          <w:b/>
          <w:bCs/>
        </w:rPr>
        <w:t>/IEC</w:t>
      </w:r>
      <w:r w:rsidR="00FE5DEC" w:rsidRPr="00395D8B">
        <w:rPr>
          <w:b/>
          <w:bCs/>
        </w:rPr>
        <w:t xml:space="preserve"> 12207</w:t>
      </w:r>
      <w:r>
        <w:t xml:space="preserve"> </w:t>
      </w:r>
      <w:r w:rsidRPr="00395D8B">
        <w:rPr>
          <w:b/>
          <w:bCs/>
          <w:color w:val="0070C0"/>
          <w:vertAlign w:val="superscript"/>
        </w:rPr>
        <w:t>[2]</w:t>
      </w:r>
      <w:r w:rsidR="00FE5DEC" w:rsidRPr="000F4D5C">
        <w:t xml:space="preserve"> (software lifecycle).</w:t>
      </w:r>
    </w:p>
    <w:p w14:paraId="1037959C" w14:textId="77777777" w:rsidR="00E81FE4" w:rsidRDefault="00E81FE4" w:rsidP="00C6610C">
      <w:pPr>
        <w:jc w:val="both"/>
      </w:pPr>
    </w:p>
    <w:p w14:paraId="3F7335BF" w14:textId="7F88791E" w:rsidR="00E81FE4" w:rsidRPr="000F4D5C" w:rsidRDefault="00FE5DEC" w:rsidP="00C6610C">
      <w:pPr>
        <w:jc w:val="both"/>
      </w:pPr>
      <w:r w:rsidRPr="000F4D5C">
        <w:t>Each of these standards addresses distinct lifecycle phases. However</w:t>
      </w:r>
      <w:r w:rsidR="000F4D5C">
        <w:t>,</w:t>
      </w:r>
      <w:r w:rsidRPr="000F4D5C">
        <w:t xml:space="preserve"> differences exist between the various standards as to the names and number of phases. Given that these could each individually form the basis of a framework for driving the product development lifecycle, it is important to establish a common framework within which all can be applied.</w:t>
      </w:r>
    </w:p>
    <w:p w14:paraId="41E1C371" w14:textId="77777777" w:rsidR="00E81FE4" w:rsidRPr="000F4D5C" w:rsidRDefault="00E81FE4" w:rsidP="00C6610C">
      <w:pPr>
        <w:jc w:val="both"/>
      </w:pPr>
    </w:p>
    <w:p w14:paraId="0D13A4D7" w14:textId="77777777" w:rsidR="00E81FE4" w:rsidRPr="000F4D5C" w:rsidRDefault="00FE5DEC" w:rsidP="00C6610C">
      <w:pPr>
        <w:jc w:val="both"/>
      </w:pPr>
      <w:r w:rsidRPr="000F4D5C">
        <w:t>The adoption of a common framework is all the more important as formal development presupposes the existence of phase gates used to provide traceability milestones. It is equally important that the phases be chosen in such a way that there is minimal additional overhead to existing development processes.</w:t>
      </w:r>
    </w:p>
    <w:p w14:paraId="45A776F7" w14:textId="77777777" w:rsidR="00E81FE4" w:rsidRDefault="00FE5DEC">
      <w:pPr>
        <w:pStyle w:val="Heading1"/>
      </w:pPr>
      <w:bookmarkStart w:id="2" w:name="_67q9z1e9awm7" w:colFirst="0" w:colLast="0"/>
      <w:bookmarkEnd w:id="2"/>
      <w:r>
        <w:br w:type="page"/>
      </w:r>
    </w:p>
    <w:p w14:paraId="301A01F6" w14:textId="7D8B0852" w:rsidR="000F4D5C" w:rsidRDefault="00161958" w:rsidP="00395D8B">
      <w:pPr>
        <w:pStyle w:val="Heading1"/>
      </w:pPr>
      <w:bookmarkStart w:id="3" w:name="_20kei0r9sgjd" w:colFirst="0" w:colLast="0"/>
      <w:bookmarkEnd w:id="3"/>
      <w:r>
        <w:lastRenderedPageBreak/>
        <w:t>Phase Alignment</w:t>
      </w:r>
    </w:p>
    <w:p w14:paraId="3F122870" w14:textId="137C62DC" w:rsidR="00E81FE4" w:rsidRPr="000F4D5C" w:rsidRDefault="00FE5DEC" w:rsidP="00C6610C">
      <w:pPr>
        <w:jc w:val="both"/>
      </w:pPr>
      <w:r w:rsidRPr="000F4D5C">
        <w:t>Broadly speaking, the above</w:t>
      </w:r>
      <w:r w:rsidR="00395D8B">
        <w:t>mentioned</w:t>
      </w:r>
      <w:r w:rsidRPr="000F4D5C">
        <w:t xml:space="preserve"> standards </w:t>
      </w:r>
      <w:r w:rsidR="00395D8B">
        <w:t>group</w:t>
      </w:r>
      <w:r w:rsidRPr="000F4D5C">
        <w:t xml:space="preserve"> lifecycle management </w:t>
      </w:r>
      <w:r w:rsidR="007E0A44">
        <w:t>activities into</w:t>
      </w:r>
      <w:r w:rsidRPr="000F4D5C">
        <w:t xml:space="preserve"> three main areas:</w:t>
      </w:r>
    </w:p>
    <w:p w14:paraId="36A61A31" w14:textId="77777777" w:rsidR="00E81FE4" w:rsidRPr="000F4D5C" w:rsidRDefault="00E81FE4" w:rsidP="00C6610C">
      <w:pPr>
        <w:jc w:val="both"/>
      </w:pPr>
    </w:p>
    <w:p w14:paraId="1D47AAE9" w14:textId="77777777" w:rsidR="00E81FE4" w:rsidRPr="000F4D5C" w:rsidRDefault="00FE5DEC" w:rsidP="00C6610C">
      <w:pPr>
        <w:pStyle w:val="ListParagraph"/>
        <w:numPr>
          <w:ilvl w:val="0"/>
          <w:numId w:val="3"/>
        </w:numPr>
        <w:ind w:left="450"/>
        <w:jc w:val="both"/>
      </w:pPr>
      <w:r w:rsidRPr="000F4D5C">
        <w:t>Governance (organizational processes)</w:t>
      </w:r>
    </w:p>
    <w:p w14:paraId="61746FB4" w14:textId="2A63A65D" w:rsidR="00E81FE4" w:rsidRPr="000F4D5C" w:rsidRDefault="00BE717A" w:rsidP="00C6610C">
      <w:pPr>
        <w:pStyle w:val="ListParagraph"/>
        <w:numPr>
          <w:ilvl w:val="0"/>
          <w:numId w:val="3"/>
        </w:numPr>
        <w:ind w:left="450"/>
        <w:jc w:val="both"/>
      </w:pPr>
      <w:r w:rsidRPr="000F4D5C">
        <w:t xml:space="preserve">Product </w:t>
      </w:r>
      <w:r w:rsidR="00FE5DEC" w:rsidRPr="000F4D5C">
        <w:t>Development</w:t>
      </w:r>
    </w:p>
    <w:p w14:paraId="4AEE3C09" w14:textId="77777777" w:rsidR="00E81FE4" w:rsidRPr="000F4D5C" w:rsidRDefault="00FE5DEC" w:rsidP="00C6610C">
      <w:pPr>
        <w:pStyle w:val="ListParagraph"/>
        <w:numPr>
          <w:ilvl w:val="0"/>
          <w:numId w:val="3"/>
        </w:numPr>
        <w:ind w:left="450"/>
        <w:jc w:val="both"/>
      </w:pPr>
      <w:r w:rsidRPr="000F4D5C">
        <w:t>Supplier Relationship</w:t>
      </w:r>
    </w:p>
    <w:p w14:paraId="3081F179" w14:textId="77777777" w:rsidR="00E81FE4" w:rsidRPr="000F4D5C" w:rsidRDefault="00E81FE4" w:rsidP="00C6610C">
      <w:pPr>
        <w:jc w:val="both"/>
      </w:pPr>
    </w:p>
    <w:p w14:paraId="04197E63" w14:textId="1DE58311" w:rsidR="00E81FE4" w:rsidRPr="000F4D5C" w:rsidRDefault="00FE5DEC" w:rsidP="00C6610C">
      <w:pPr>
        <w:jc w:val="both"/>
      </w:pPr>
      <w:r w:rsidRPr="000F4D5C">
        <w:t xml:space="preserve">By its very nature, governance is a highly centralized activity requiring </w:t>
      </w:r>
      <w:r w:rsidR="00BE717A" w:rsidRPr="000F4D5C">
        <w:t xml:space="preserve">process </w:t>
      </w:r>
      <w:r w:rsidRPr="000F4D5C">
        <w:t xml:space="preserve">uniformity. This implies that </w:t>
      </w:r>
      <w:r w:rsidR="00866630" w:rsidRPr="000F4D5C">
        <w:t xml:space="preserve">quality, management, </w:t>
      </w:r>
      <w:r w:rsidR="007E0A44">
        <w:t xml:space="preserve">product </w:t>
      </w:r>
      <w:r w:rsidR="00BE717A" w:rsidRPr="000F4D5C">
        <w:t xml:space="preserve">development, </w:t>
      </w:r>
      <w:r w:rsidRPr="000F4D5C">
        <w:t>safety</w:t>
      </w:r>
      <w:r w:rsidR="00BE717A" w:rsidRPr="000F4D5C">
        <w:t>,</w:t>
      </w:r>
      <w:r w:rsidRPr="000F4D5C">
        <w:t xml:space="preserve"> </w:t>
      </w:r>
      <w:r w:rsidR="00BE717A" w:rsidRPr="000F4D5C">
        <w:t xml:space="preserve">and </w:t>
      </w:r>
      <w:r w:rsidR="00DB5D7A">
        <w:t>cyber</w:t>
      </w:r>
      <w:r w:rsidRPr="000F4D5C">
        <w:t xml:space="preserve">security processes </w:t>
      </w:r>
      <w:r w:rsidR="00866630" w:rsidRPr="000F4D5C">
        <w:t xml:space="preserve">all </w:t>
      </w:r>
      <w:r w:rsidRPr="000F4D5C">
        <w:t>conform to the organizational standard</w:t>
      </w:r>
      <w:r w:rsidR="00866630" w:rsidRPr="000F4D5C">
        <w:t xml:space="preserve"> in the area of governance</w:t>
      </w:r>
      <w:r w:rsidRPr="000F4D5C">
        <w:t xml:space="preserve">. </w:t>
      </w:r>
      <w:r w:rsidR="00866630" w:rsidRPr="000F4D5C">
        <w:t>S</w:t>
      </w:r>
      <w:r w:rsidRPr="000F4D5C">
        <w:t xml:space="preserve">upplier relationships need to be managed in a </w:t>
      </w:r>
      <w:r w:rsidR="00866630" w:rsidRPr="000F4D5C">
        <w:t>similar</w:t>
      </w:r>
      <w:r w:rsidRPr="000F4D5C">
        <w:t xml:space="preserve"> manner.</w:t>
      </w:r>
    </w:p>
    <w:p w14:paraId="61123DC1" w14:textId="77777777" w:rsidR="00E81FE4" w:rsidRPr="000F4D5C" w:rsidRDefault="00E81FE4" w:rsidP="00C6610C">
      <w:pPr>
        <w:jc w:val="both"/>
      </w:pPr>
    </w:p>
    <w:p w14:paraId="13D8123F" w14:textId="13A5329B" w:rsidR="00E81FE4" w:rsidRPr="000F4D5C" w:rsidRDefault="00866630" w:rsidP="00C6610C">
      <w:pPr>
        <w:jc w:val="both"/>
      </w:pPr>
      <w:r w:rsidRPr="000F4D5C">
        <w:t>What remains are</w:t>
      </w:r>
      <w:r w:rsidR="00FE5DEC" w:rsidRPr="000F4D5C">
        <w:t xml:space="preserve"> the development phases of the product lifecycle. Here there is much more variability as to the number </w:t>
      </w:r>
      <w:r w:rsidRPr="000F4D5C">
        <w:t xml:space="preserve">and type </w:t>
      </w:r>
      <w:r w:rsidR="00FE5DEC" w:rsidRPr="000F4D5C">
        <w:t>of phases called out.</w:t>
      </w:r>
    </w:p>
    <w:p w14:paraId="6340BB66" w14:textId="77777777" w:rsidR="00E81FE4" w:rsidRPr="000F4D5C" w:rsidRDefault="00E81FE4" w:rsidP="00C6610C">
      <w:pPr>
        <w:jc w:val="both"/>
      </w:pPr>
    </w:p>
    <w:p w14:paraId="456220F4" w14:textId="2D8A3FD5" w:rsidR="00E81FE4" w:rsidRPr="000F4D5C" w:rsidRDefault="00866630" w:rsidP="00C6610C">
      <w:pPr>
        <w:jc w:val="both"/>
      </w:pPr>
      <w:r w:rsidRPr="000F4D5C">
        <w:t>Even with all this apparent complexity</w:t>
      </w:r>
      <w:r w:rsidR="00FE5DEC" w:rsidRPr="000F4D5C">
        <w:t xml:space="preserve">, it is possible to harmonize these disparities in a way which allows for both expression of compliance with various standards and also </w:t>
      </w:r>
      <w:r w:rsidRPr="000F4D5C">
        <w:t xml:space="preserve">the insertion of </w:t>
      </w:r>
      <w:r w:rsidR="00FE5DEC" w:rsidRPr="000F4D5C">
        <w:t>process gates</w:t>
      </w:r>
      <w:r w:rsidRPr="000F4D5C">
        <w:t xml:space="preserve"> by which process control is maintained</w:t>
      </w:r>
      <w:r w:rsidR="00FE5DEC" w:rsidRPr="000F4D5C">
        <w:t>.</w:t>
      </w:r>
    </w:p>
    <w:p w14:paraId="69468F77" w14:textId="77777777" w:rsidR="002A7D45" w:rsidRPr="000F4D5C" w:rsidRDefault="002A7D45" w:rsidP="00C6610C">
      <w:pPr>
        <w:jc w:val="both"/>
      </w:pPr>
    </w:p>
    <w:p w14:paraId="164731DB" w14:textId="43A25B66" w:rsidR="002A7D45" w:rsidRPr="000F4D5C" w:rsidRDefault="00BE717A" w:rsidP="00C6610C">
      <w:pPr>
        <w:jc w:val="both"/>
      </w:pPr>
      <w:r w:rsidRPr="000F4D5C">
        <w:t>The following table shows</w:t>
      </w:r>
      <w:r w:rsidR="002A7D45" w:rsidRPr="000F4D5C">
        <w:t xml:space="preserve"> the AVPDL phases and how they relate to the various standards.</w:t>
      </w:r>
    </w:p>
    <w:p w14:paraId="609715DE" w14:textId="77777777" w:rsidR="00E81FE4" w:rsidRDefault="00E81FE4">
      <w:pPr>
        <w:jc w:val="both"/>
      </w:pPr>
    </w:p>
    <w:tbl>
      <w:tblPr>
        <w:tblW w:w="0" w:type="auto"/>
        <w:jc w:val="center"/>
        <w:tblLook w:val="0620" w:firstRow="1" w:lastRow="0" w:firstColumn="0" w:lastColumn="0" w:noHBand="1" w:noVBand="1"/>
      </w:tblPr>
      <w:tblGrid>
        <w:gridCol w:w="1615"/>
        <w:gridCol w:w="1620"/>
        <w:gridCol w:w="1890"/>
        <w:gridCol w:w="2160"/>
        <w:gridCol w:w="2054"/>
      </w:tblGrid>
      <w:tr w:rsidR="00590A8D" w:rsidRPr="002A7D45" w14:paraId="6983AF71" w14:textId="77777777" w:rsidTr="000F4D5C">
        <w:trPr>
          <w:trHeight w:val="163"/>
          <w:jc w:val="center"/>
        </w:trPr>
        <w:tc>
          <w:tcPr>
            <w:tcW w:w="1615"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C384080"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AVPDL</w:t>
            </w:r>
          </w:p>
        </w:tc>
        <w:tc>
          <w:tcPr>
            <w:tcW w:w="1620" w:type="dxa"/>
            <w:tcBorders>
              <w:top w:val="single" w:sz="4" w:space="0" w:color="auto"/>
              <w:left w:val="nil"/>
              <w:bottom w:val="single" w:sz="4" w:space="0" w:color="auto"/>
              <w:right w:val="single" w:sz="4" w:space="0" w:color="auto"/>
            </w:tcBorders>
            <w:shd w:val="clear" w:color="000000" w:fill="DDEBF7"/>
            <w:noWrap/>
            <w:vAlign w:val="center"/>
            <w:hideMark/>
          </w:tcPr>
          <w:p w14:paraId="233DA6F9"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15288</w:t>
            </w:r>
          </w:p>
        </w:tc>
        <w:tc>
          <w:tcPr>
            <w:tcW w:w="1890" w:type="dxa"/>
            <w:tcBorders>
              <w:top w:val="single" w:sz="4" w:space="0" w:color="auto"/>
              <w:left w:val="nil"/>
              <w:bottom w:val="single" w:sz="4" w:space="0" w:color="auto"/>
              <w:right w:val="single" w:sz="4" w:space="0" w:color="auto"/>
            </w:tcBorders>
            <w:shd w:val="clear" w:color="000000" w:fill="DDEBF7"/>
            <w:noWrap/>
            <w:vAlign w:val="center"/>
            <w:hideMark/>
          </w:tcPr>
          <w:p w14:paraId="0F3B6A5D"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12207</w:t>
            </w:r>
          </w:p>
        </w:tc>
        <w:tc>
          <w:tcPr>
            <w:tcW w:w="2160" w:type="dxa"/>
            <w:tcBorders>
              <w:top w:val="single" w:sz="4" w:space="0" w:color="auto"/>
              <w:left w:val="nil"/>
              <w:bottom w:val="single" w:sz="4" w:space="0" w:color="auto"/>
              <w:right w:val="single" w:sz="4" w:space="0" w:color="auto"/>
            </w:tcBorders>
            <w:shd w:val="clear" w:color="000000" w:fill="DDEBF7"/>
            <w:noWrap/>
            <w:vAlign w:val="center"/>
            <w:hideMark/>
          </w:tcPr>
          <w:p w14:paraId="756C2555"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26262</w:t>
            </w:r>
          </w:p>
        </w:tc>
        <w:tc>
          <w:tcPr>
            <w:tcW w:w="2054" w:type="dxa"/>
            <w:tcBorders>
              <w:top w:val="single" w:sz="4" w:space="0" w:color="auto"/>
              <w:left w:val="nil"/>
              <w:bottom w:val="single" w:sz="4" w:space="0" w:color="auto"/>
              <w:right w:val="single" w:sz="4" w:space="0" w:color="auto"/>
            </w:tcBorders>
            <w:shd w:val="clear" w:color="000000" w:fill="DDEBF7"/>
            <w:noWrap/>
            <w:vAlign w:val="center"/>
            <w:hideMark/>
          </w:tcPr>
          <w:p w14:paraId="50E12CE2"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21434</w:t>
            </w:r>
          </w:p>
        </w:tc>
      </w:tr>
      <w:tr w:rsidR="00590A8D" w:rsidRPr="002A7D45" w14:paraId="26B99F29" w14:textId="77777777" w:rsidTr="007E0A44">
        <w:trPr>
          <w:trHeight w:val="292"/>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BEE7DF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organization processes</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20143B3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technical processes</w:t>
            </w:r>
          </w:p>
        </w:tc>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14:paraId="4330932F"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technical processes</w:t>
            </w:r>
          </w:p>
        </w:tc>
        <w:tc>
          <w:tcPr>
            <w:tcW w:w="2160" w:type="dxa"/>
            <w:tcBorders>
              <w:top w:val="nil"/>
              <w:left w:val="nil"/>
              <w:bottom w:val="single" w:sz="4" w:space="0" w:color="auto"/>
              <w:right w:val="single" w:sz="4" w:space="0" w:color="auto"/>
            </w:tcBorders>
            <w:shd w:val="clear" w:color="auto" w:fill="auto"/>
            <w:noWrap/>
            <w:vAlign w:val="center"/>
            <w:hideMark/>
          </w:tcPr>
          <w:p w14:paraId="398B429F"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management of functional safety</w:t>
            </w:r>
          </w:p>
        </w:tc>
        <w:tc>
          <w:tcPr>
            <w:tcW w:w="2054" w:type="dxa"/>
            <w:tcBorders>
              <w:top w:val="nil"/>
              <w:left w:val="nil"/>
              <w:bottom w:val="single" w:sz="4" w:space="0" w:color="auto"/>
              <w:right w:val="single" w:sz="4" w:space="0" w:color="auto"/>
            </w:tcBorders>
            <w:shd w:val="clear" w:color="auto" w:fill="auto"/>
            <w:noWrap/>
            <w:vAlign w:val="center"/>
            <w:hideMark/>
          </w:tcPr>
          <w:p w14:paraId="2E87B1B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overall cybersecurity management</w:t>
            </w:r>
          </w:p>
        </w:tc>
      </w:tr>
      <w:tr w:rsidR="00590A8D" w:rsidRPr="002A7D45" w14:paraId="6A4C4AFB" w14:textId="77777777" w:rsidTr="007E0A44">
        <w:trPr>
          <w:trHeight w:val="377"/>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A1BAE07"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vMerge/>
            <w:tcBorders>
              <w:top w:val="nil"/>
              <w:left w:val="single" w:sz="4" w:space="0" w:color="auto"/>
              <w:bottom w:val="single" w:sz="4" w:space="0" w:color="auto"/>
              <w:right w:val="single" w:sz="4" w:space="0" w:color="auto"/>
            </w:tcBorders>
            <w:vAlign w:val="center"/>
            <w:hideMark/>
          </w:tcPr>
          <w:p w14:paraId="6094AC3D"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890" w:type="dxa"/>
            <w:vMerge/>
            <w:tcBorders>
              <w:top w:val="nil"/>
              <w:left w:val="single" w:sz="4" w:space="0" w:color="auto"/>
              <w:bottom w:val="single" w:sz="4" w:space="0" w:color="auto"/>
              <w:right w:val="single" w:sz="4" w:space="0" w:color="auto"/>
            </w:tcBorders>
            <w:vAlign w:val="center"/>
            <w:hideMark/>
          </w:tcPr>
          <w:p w14:paraId="42A07EF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160" w:type="dxa"/>
            <w:tcBorders>
              <w:top w:val="nil"/>
              <w:left w:val="nil"/>
              <w:bottom w:val="single" w:sz="4" w:space="0" w:color="auto"/>
              <w:right w:val="single" w:sz="4" w:space="0" w:color="auto"/>
            </w:tcBorders>
            <w:shd w:val="clear" w:color="auto" w:fill="auto"/>
            <w:vAlign w:val="center"/>
            <w:hideMark/>
          </w:tcPr>
          <w:p w14:paraId="2232DB2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supporting processes</w:t>
            </w:r>
          </w:p>
        </w:tc>
        <w:tc>
          <w:tcPr>
            <w:tcW w:w="2054" w:type="dxa"/>
            <w:tcBorders>
              <w:top w:val="nil"/>
              <w:left w:val="nil"/>
              <w:bottom w:val="single" w:sz="4" w:space="0" w:color="auto"/>
              <w:right w:val="single" w:sz="4" w:space="0" w:color="auto"/>
            </w:tcBorders>
            <w:shd w:val="clear" w:color="auto" w:fill="auto"/>
            <w:vAlign w:val="center"/>
            <w:hideMark/>
          </w:tcPr>
          <w:p w14:paraId="140DA3A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project dependent cybersecurity management</w:t>
            </w:r>
          </w:p>
        </w:tc>
      </w:tr>
      <w:tr w:rsidR="00590A8D" w:rsidRPr="002A7D45" w14:paraId="12CC9786" w14:textId="77777777" w:rsidTr="007E0A44">
        <w:trPr>
          <w:trHeight w:val="251"/>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BE56F0E"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foundation phase</w:t>
            </w:r>
          </w:p>
        </w:tc>
        <w:tc>
          <w:tcPr>
            <w:tcW w:w="1620" w:type="dxa"/>
            <w:tcBorders>
              <w:top w:val="nil"/>
              <w:left w:val="nil"/>
              <w:bottom w:val="single" w:sz="4" w:space="0" w:color="auto"/>
              <w:right w:val="single" w:sz="4" w:space="0" w:color="auto"/>
            </w:tcBorders>
            <w:shd w:val="clear" w:color="000000" w:fill="FCE4D6"/>
            <w:vAlign w:val="center"/>
            <w:hideMark/>
          </w:tcPr>
          <w:p w14:paraId="2DF87C7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N/A</w:t>
            </w:r>
          </w:p>
        </w:tc>
        <w:tc>
          <w:tcPr>
            <w:tcW w:w="1890" w:type="dxa"/>
            <w:tcBorders>
              <w:top w:val="nil"/>
              <w:left w:val="nil"/>
              <w:bottom w:val="single" w:sz="4" w:space="0" w:color="auto"/>
              <w:right w:val="single" w:sz="4" w:space="0" w:color="auto"/>
            </w:tcBorders>
            <w:shd w:val="clear" w:color="000000" w:fill="FCE4D6"/>
            <w:vAlign w:val="center"/>
            <w:hideMark/>
          </w:tcPr>
          <w:p w14:paraId="30CAC46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N/A</w:t>
            </w:r>
          </w:p>
        </w:tc>
        <w:tc>
          <w:tcPr>
            <w:tcW w:w="2160" w:type="dxa"/>
            <w:tcBorders>
              <w:top w:val="nil"/>
              <w:left w:val="nil"/>
              <w:bottom w:val="single" w:sz="4" w:space="0" w:color="auto"/>
              <w:right w:val="single" w:sz="4" w:space="0" w:color="auto"/>
            </w:tcBorders>
            <w:shd w:val="clear" w:color="auto" w:fill="auto"/>
            <w:vAlign w:val="center"/>
            <w:hideMark/>
          </w:tcPr>
          <w:p w14:paraId="6DDD9CF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concept phase</w:t>
            </w:r>
          </w:p>
        </w:tc>
        <w:tc>
          <w:tcPr>
            <w:tcW w:w="2054" w:type="dxa"/>
            <w:tcBorders>
              <w:top w:val="nil"/>
              <w:left w:val="nil"/>
              <w:bottom w:val="single" w:sz="4" w:space="0" w:color="auto"/>
              <w:right w:val="single" w:sz="4" w:space="0" w:color="auto"/>
            </w:tcBorders>
            <w:shd w:val="clear" w:color="auto" w:fill="auto"/>
            <w:vAlign w:val="center"/>
            <w:hideMark/>
          </w:tcPr>
          <w:p w14:paraId="69DB07F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concept phase</w:t>
            </w:r>
          </w:p>
        </w:tc>
      </w:tr>
      <w:tr w:rsidR="00590A8D" w:rsidRPr="002A7D45" w14:paraId="663837EC" w14:textId="77777777" w:rsidTr="007E0A44">
        <w:trPr>
          <w:trHeight w:val="292"/>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DDDA38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requirements phase</w:t>
            </w:r>
          </w:p>
        </w:tc>
        <w:tc>
          <w:tcPr>
            <w:tcW w:w="1620" w:type="dxa"/>
            <w:tcBorders>
              <w:top w:val="nil"/>
              <w:left w:val="nil"/>
              <w:bottom w:val="single" w:sz="4" w:space="0" w:color="auto"/>
              <w:right w:val="single" w:sz="4" w:space="0" w:color="auto"/>
            </w:tcBorders>
            <w:shd w:val="clear" w:color="auto" w:fill="auto"/>
            <w:noWrap/>
            <w:vAlign w:val="center"/>
            <w:hideMark/>
          </w:tcPr>
          <w:p w14:paraId="448640B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requirements definition</w:t>
            </w:r>
          </w:p>
        </w:tc>
        <w:tc>
          <w:tcPr>
            <w:tcW w:w="1890" w:type="dxa"/>
            <w:tcBorders>
              <w:top w:val="nil"/>
              <w:left w:val="nil"/>
              <w:bottom w:val="single" w:sz="4" w:space="0" w:color="auto"/>
              <w:right w:val="single" w:sz="4" w:space="0" w:color="auto"/>
            </w:tcBorders>
            <w:shd w:val="clear" w:color="auto" w:fill="auto"/>
            <w:noWrap/>
            <w:vAlign w:val="center"/>
            <w:hideMark/>
          </w:tcPr>
          <w:p w14:paraId="6D6E3C6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requirements definition</w:t>
            </w:r>
          </w:p>
        </w:tc>
        <w:tc>
          <w:tcPr>
            <w:tcW w:w="2160" w:type="dxa"/>
            <w:tcBorders>
              <w:top w:val="nil"/>
              <w:left w:val="nil"/>
              <w:bottom w:val="single" w:sz="4" w:space="0" w:color="auto"/>
              <w:right w:val="single" w:sz="4" w:space="0" w:color="auto"/>
            </w:tcBorders>
            <w:shd w:val="clear" w:color="auto" w:fill="auto"/>
            <w:noWrap/>
            <w:vAlign w:val="center"/>
            <w:hideMark/>
          </w:tcPr>
          <w:p w14:paraId="390FCF3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safety requirements</w:t>
            </w:r>
          </w:p>
        </w:tc>
        <w:tc>
          <w:tcPr>
            <w:tcW w:w="2054" w:type="dxa"/>
            <w:tcBorders>
              <w:top w:val="nil"/>
              <w:left w:val="nil"/>
              <w:bottom w:val="single" w:sz="4" w:space="0" w:color="auto"/>
              <w:right w:val="single" w:sz="4" w:space="0" w:color="auto"/>
            </w:tcBorders>
            <w:shd w:val="clear" w:color="auto" w:fill="auto"/>
            <w:noWrap/>
            <w:vAlign w:val="center"/>
            <w:hideMark/>
          </w:tcPr>
          <w:p w14:paraId="2E8CAF9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cybersecurity requirements</w:t>
            </w:r>
          </w:p>
        </w:tc>
      </w:tr>
      <w:tr w:rsidR="00590A8D" w:rsidRPr="002A7D45" w14:paraId="30726599" w14:textId="77777777" w:rsidTr="007E0A44">
        <w:trPr>
          <w:trHeight w:val="292"/>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5C6484E"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tcBorders>
              <w:top w:val="nil"/>
              <w:left w:val="nil"/>
              <w:bottom w:val="single" w:sz="4" w:space="0" w:color="auto"/>
              <w:right w:val="single" w:sz="4" w:space="0" w:color="auto"/>
            </w:tcBorders>
            <w:shd w:val="clear" w:color="auto" w:fill="auto"/>
            <w:noWrap/>
            <w:vAlign w:val="center"/>
            <w:hideMark/>
          </w:tcPr>
          <w:p w14:paraId="4839BD9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requirements analysis</w:t>
            </w:r>
          </w:p>
        </w:tc>
        <w:tc>
          <w:tcPr>
            <w:tcW w:w="1890" w:type="dxa"/>
            <w:tcBorders>
              <w:top w:val="nil"/>
              <w:left w:val="nil"/>
              <w:bottom w:val="single" w:sz="4" w:space="0" w:color="auto"/>
              <w:right w:val="single" w:sz="4" w:space="0" w:color="auto"/>
            </w:tcBorders>
            <w:shd w:val="clear" w:color="auto" w:fill="auto"/>
            <w:noWrap/>
            <w:vAlign w:val="center"/>
            <w:hideMark/>
          </w:tcPr>
          <w:p w14:paraId="6A2AEB5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system requirements analysis</w:t>
            </w:r>
          </w:p>
        </w:tc>
        <w:tc>
          <w:tcPr>
            <w:tcW w:w="2160" w:type="dxa"/>
            <w:tcBorders>
              <w:top w:val="nil"/>
              <w:left w:val="nil"/>
              <w:bottom w:val="single" w:sz="4" w:space="0" w:color="auto"/>
              <w:right w:val="single" w:sz="4" w:space="0" w:color="auto"/>
            </w:tcBorders>
            <w:shd w:val="clear" w:color="auto" w:fill="auto"/>
            <w:noWrap/>
            <w:vAlign w:val="center"/>
            <w:hideMark/>
          </w:tcPr>
          <w:p w14:paraId="0B93969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hazard analysis / risk assessment</w:t>
            </w:r>
          </w:p>
        </w:tc>
        <w:tc>
          <w:tcPr>
            <w:tcW w:w="2054" w:type="dxa"/>
            <w:tcBorders>
              <w:top w:val="nil"/>
              <w:left w:val="nil"/>
              <w:bottom w:val="single" w:sz="4" w:space="0" w:color="auto"/>
              <w:right w:val="single" w:sz="4" w:space="0" w:color="auto"/>
            </w:tcBorders>
            <w:shd w:val="clear" w:color="auto" w:fill="auto"/>
            <w:noWrap/>
            <w:vAlign w:val="center"/>
            <w:hideMark/>
          </w:tcPr>
          <w:p w14:paraId="3804EFD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cybersecurity assessment</w:t>
            </w:r>
          </w:p>
        </w:tc>
      </w:tr>
      <w:tr w:rsidR="00590A8D" w:rsidRPr="002A7D45" w14:paraId="24117061" w14:textId="77777777" w:rsidTr="007E0A44">
        <w:trPr>
          <w:trHeight w:val="310"/>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FB06B8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design phase</w:t>
            </w:r>
          </w:p>
        </w:tc>
        <w:tc>
          <w:tcPr>
            <w:tcW w:w="1620" w:type="dxa"/>
            <w:tcBorders>
              <w:top w:val="nil"/>
              <w:left w:val="nil"/>
              <w:bottom w:val="single" w:sz="4" w:space="0" w:color="auto"/>
              <w:right w:val="single" w:sz="4" w:space="0" w:color="auto"/>
            </w:tcBorders>
            <w:shd w:val="clear" w:color="auto" w:fill="auto"/>
            <w:vAlign w:val="center"/>
            <w:hideMark/>
          </w:tcPr>
          <w:p w14:paraId="6D8FB07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architectural design</w:t>
            </w:r>
          </w:p>
        </w:tc>
        <w:tc>
          <w:tcPr>
            <w:tcW w:w="1890" w:type="dxa"/>
            <w:tcBorders>
              <w:top w:val="nil"/>
              <w:left w:val="nil"/>
              <w:bottom w:val="single" w:sz="4" w:space="0" w:color="auto"/>
              <w:right w:val="single" w:sz="4" w:space="0" w:color="auto"/>
            </w:tcBorders>
            <w:shd w:val="clear" w:color="auto" w:fill="auto"/>
            <w:vAlign w:val="center"/>
            <w:hideMark/>
          </w:tcPr>
          <w:p w14:paraId="3C7212D6"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system architectural design</w:t>
            </w:r>
          </w:p>
        </w:tc>
        <w:tc>
          <w:tcPr>
            <w:tcW w:w="2160" w:type="dxa"/>
            <w:tcBorders>
              <w:top w:val="nil"/>
              <w:left w:val="nil"/>
              <w:bottom w:val="single" w:sz="4" w:space="0" w:color="auto"/>
              <w:right w:val="single" w:sz="4" w:space="0" w:color="auto"/>
            </w:tcBorders>
            <w:shd w:val="clear" w:color="auto" w:fill="auto"/>
            <w:vAlign w:val="center"/>
            <w:hideMark/>
          </w:tcPr>
          <w:p w14:paraId="7F495F66"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architectural design</w:t>
            </w:r>
          </w:p>
        </w:tc>
        <w:tc>
          <w:tcPr>
            <w:tcW w:w="2054" w:type="dxa"/>
            <w:tcBorders>
              <w:top w:val="nil"/>
              <w:left w:val="nil"/>
              <w:bottom w:val="single" w:sz="4" w:space="0" w:color="auto"/>
              <w:right w:val="single" w:sz="4" w:space="0" w:color="auto"/>
            </w:tcBorders>
            <w:shd w:val="clear" w:color="auto" w:fill="auto"/>
            <w:vAlign w:val="center"/>
            <w:hideMark/>
          </w:tcPr>
          <w:p w14:paraId="3CDDCD1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cybersecurity design</w:t>
            </w:r>
          </w:p>
        </w:tc>
      </w:tr>
      <w:tr w:rsidR="00590A8D" w:rsidRPr="002A7D45" w14:paraId="7CEF238D" w14:textId="77777777" w:rsidTr="007E0A44">
        <w:trPr>
          <w:trHeight w:val="310"/>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C10F33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implementation phase</w:t>
            </w:r>
          </w:p>
        </w:tc>
        <w:tc>
          <w:tcPr>
            <w:tcW w:w="1620" w:type="dxa"/>
            <w:tcBorders>
              <w:top w:val="nil"/>
              <w:left w:val="nil"/>
              <w:bottom w:val="single" w:sz="4" w:space="0" w:color="auto"/>
              <w:right w:val="single" w:sz="4" w:space="0" w:color="auto"/>
            </w:tcBorders>
            <w:shd w:val="clear" w:color="auto" w:fill="auto"/>
            <w:vAlign w:val="center"/>
            <w:hideMark/>
          </w:tcPr>
          <w:p w14:paraId="3758800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implementation</w:t>
            </w:r>
          </w:p>
        </w:tc>
        <w:tc>
          <w:tcPr>
            <w:tcW w:w="1890" w:type="dxa"/>
            <w:tcBorders>
              <w:top w:val="nil"/>
              <w:left w:val="nil"/>
              <w:bottom w:val="single" w:sz="4" w:space="0" w:color="auto"/>
              <w:right w:val="single" w:sz="4" w:space="0" w:color="auto"/>
            </w:tcBorders>
            <w:shd w:val="clear" w:color="auto" w:fill="auto"/>
            <w:vAlign w:val="center"/>
            <w:hideMark/>
          </w:tcPr>
          <w:p w14:paraId="593514D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implementation</w:t>
            </w:r>
          </w:p>
        </w:tc>
        <w:tc>
          <w:tcPr>
            <w:tcW w:w="2160" w:type="dxa"/>
            <w:tcBorders>
              <w:top w:val="nil"/>
              <w:left w:val="nil"/>
              <w:bottom w:val="single" w:sz="4" w:space="0" w:color="auto"/>
              <w:right w:val="single" w:sz="4" w:space="0" w:color="auto"/>
            </w:tcBorders>
            <w:shd w:val="clear" w:color="auto" w:fill="auto"/>
            <w:vAlign w:val="center"/>
            <w:hideMark/>
          </w:tcPr>
          <w:p w14:paraId="646C623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implementation</w:t>
            </w:r>
          </w:p>
        </w:tc>
        <w:tc>
          <w:tcPr>
            <w:tcW w:w="2054" w:type="dxa"/>
            <w:tcBorders>
              <w:top w:val="nil"/>
              <w:left w:val="nil"/>
              <w:bottom w:val="single" w:sz="4" w:space="0" w:color="auto"/>
              <w:right w:val="single" w:sz="4" w:space="0" w:color="auto"/>
            </w:tcBorders>
            <w:shd w:val="clear" w:color="auto" w:fill="auto"/>
            <w:vAlign w:val="center"/>
            <w:hideMark/>
          </w:tcPr>
          <w:p w14:paraId="2D003B4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development</w:t>
            </w:r>
          </w:p>
        </w:tc>
      </w:tr>
      <w:tr w:rsidR="00590A8D" w:rsidRPr="002A7D45" w14:paraId="55EB47E7" w14:textId="77777777" w:rsidTr="007E0A44">
        <w:trPr>
          <w:trHeight w:val="310"/>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D33D5B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tcBorders>
              <w:top w:val="nil"/>
              <w:left w:val="nil"/>
              <w:bottom w:val="single" w:sz="4" w:space="0" w:color="auto"/>
              <w:right w:val="single" w:sz="4" w:space="0" w:color="auto"/>
            </w:tcBorders>
            <w:shd w:val="clear" w:color="auto" w:fill="auto"/>
            <w:vAlign w:val="center"/>
            <w:hideMark/>
          </w:tcPr>
          <w:p w14:paraId="02C0EF57"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integration</w:t>
            </w:r>
          </w:p>
        </w:tc>
        <w:tc>
          <w:tcPr>
            <w:tcW w:w="1890" w:type="dxa"/>
            <w:tcBorders>
              <w:top w:val="nil"/>
              <w:left w:val="nil"/>
              <w:bottom w:val="single" w:sz="4" w:space="0" w:color="auto"/>
              <w:right w:val="single" w:sz="4" w:space="0" w:color="auto"/>
            </w:tcBorders>
            <w:shd w:val="clear" w:color="auto" w:fill="auto"/>
            <w:vAlign w:val="center"/>
            <w:hideMark/>
          </w:tcPr>
          <w:p w14:paraId="3EAAA03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system integration</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32D04B8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integration and verification</w:t>
            </w:r>
          </w:p>
        </w:tc>
        <w:tc>
          <w:tcPr>
            <w:tcW w:w="2054" w:type="dxa"/>
            <w:vMerge w:val="restart"/>
            <w:tcBorders>
              <w:top w:val="nil"/>
              <w:left w:val="single" w:sz="4" w:space="0" w:color="auto"/>
              <w:bottom w:val="single" w:sz="4" w:space="0" w:color="auto"/>
              <w:right w:val="single" w:sz="4" w:space="0" w:color="auto"/>
            </w:tcBorders>
            <w:shd w:val="clear" w:color="auto" w:fill="auto"/>
            <w:vAlign w:val="center"/>
            <w:hideMark/>
          </w:tcPr>
          <w:p w14:paraId="7BED33D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integration and verification</w:t>
            </w:r>
          </w:p>
        </w:tc>
      </w:tr>
      <w:tr w:rsidR="00590A8D" w:rsidRPr="002A7D45" w14:paraId="208806E3" w14:textId="77777777" w:rsidTr="007E0A44">
        <w:trPr>
          <w:trHeight w:val="310"/>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E323FC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verification phase</w:t>
            </w:r>
          </w:p>
        </w:tc>
        <w:tc>
          <w:tcPr>
            <w:tcW w:w="1620" w:type="dxa"/>
            <w:tcBorders>
              <w:top w:val="nil"/>
              <w:left w:val="nil"/>
              <w:bottom w:val="single" w:sz="4" w:space="0" w:color="auto"/>
              <w:right w:val="single" w:sz="4" w:space="0" w:color="auto"/>
            </w:tcBorders>
            <w:shd w:val="clear" w:color="auto" w:fill="auto"/>
            <w:vAlign w:val="center"/>
            <w:hideMark/>
          </w:tcPr>
          <w:p w14:paraId="2451A59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verification</w:t>
            </w:r>
          </w:p>
        </w:tc>
        <w:tc>
          <w:tcPr>
            <w:tcW w:w="1890" w:type="dxa"/>
            <w:tcBorders>
              <w:top w:val="nil"/>
              <w:left w:val="nil"/>
              <w:bottom w:val="single" w:sz="4" w:space="0" w:color="auto"/>
              <w:right w:val="single" w:sz="4" w:space="0" w:color="auto"/>
            </w:tcBorders>
            <w:shd w:val="clear" w:color="auto" w:fill="auto"/>
            <w:vAlign w:val="center"/>
            <w:hideMark/>
          </w:tcPr>
          <w:p w14:paraId="6B499147"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system qualification testing</w:t>
            </w:r>
          </w:p>
        </w:tc>
        <w:tc>
          <w:tcPr>
            <w:tcW w:w="2160" w:type="dxa"/>
            <w:vMerge/>
            <w:tcBorders>
              <w:top w:val="nil"/>
              <w:left w:val="single" w:sz="4" w:space="0" w:color="auto"/>
              <w:bottom w:val="single" w:sz="4" w:space="0" w:color="auto"/>
              <w:right w:val="single" w:sz="4" w:space="0" w:color="auto"/>
            </w:tcBorders>
            <w:vAlign w:val="center"/>
            <w:hideMark/>
          </w:tcPr>
          <w:p w14:paraId="0057365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vMerge/>
            <w:tcBorders>
              <w:top w:val="nil"/>
              <w:left w:val="single" w:sz="4" w:space="0" w:color="auto"/>
              <w:bottom w:val="single" w:sz="4" w:space="0" w:color="auto"/>
              <w:right w:val="single" w:sz="4" w:space="0" w:color="auto"/>
            </w:tcBorders>
            <w:vAlign w:val="center"/>
            <w:hideMark/>
          </w:tcPr>
          <w:p w14:paraId="2CCBC66D"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r>
      <w:tr w:rsidR="00590A8D" w:rsidRPr="002A7D45" w14:paraId="3C51F365" w14:textId="77777777" w:rsidTr="007E0A44">
        <w:trPr>
          <w:trHeight w:val="310"/>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D7CF8AD"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273A6CC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transition</w:t>
            </w:r>
          </w:p>
        </w:tc>
        <w:tc>
          <w:tcPr>
            <w:tcW w:w="1890" w:type="dxa"/>
            <w:tcBorders>
              <w:top w:val="nil"/>
              <w:left w:val="nil"/>
              <w:bottom w:val="single" w:sz="4" w:space="0" w:color="auto"/>
              <w:right w:val="single" w:sz="4" w:space="0" w:color="auto"/>
            </w:tcBorders>
            <w:shd w:val="clear" w:color="auto" w:fill="auto"/>
            <w:vAlign w:val="center"/>
            <w:hideMark/>
          </w:tcPr>
          <w:p w14:paraId="076B540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installation</w:t>
            </w:r>
          </w:p>
        </w:tc>
        <w:tc>
          <w:tcPr>
            <w:tcW w:w="2160" w:type="dxa"/>
            <w:vMerge/>
            <w:tcBorders>
              <w:top w:val="nil"/>
              <w:left w:val="single" w:sz="4" w:space="0" w:color="auto"/>
              <w:bottom w:val="single" w:sz="4" w:space="0" w:color="auto"/>
              <w:right w:val="single" w:sz="4" w:space="0" w:color="auto"/>
            </w:tcBorders>
            <w:vAlign w:val="center"/>
            <w:hideMark/>
          </w:tcPr>
          <w:p w14:paraId="3B8251B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vMerge/>
            <w:tcBorders>
              <w:top w:val="nil"/>
              <w:left w:val="single" w:sz="4" w:space="0" w:color="auto"/>
              <w:bottom w:val="single" w:sz="4" w:space="0" w:color="auto"/>
              <w:right w:val="single" w:sz="4" w:space="0" w:color="auto"/>
            </w:tcBorders>
            <w:vAlign w:val="center"/>
            <w:hideMark/>
          </w:tcPr>
          <w:p w14:paraId="118527B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r>
      <w:tr w:rsidR="00590A8D" w:rsidRPr="002A7D45" w14:paraId="3BE369A4" w14:textId="77777777" w:rsidTr="007E0A44">
        <w:trPr>
          <w:trHeight w:val="292"/>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EF347F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vMerge/>
            <w:tcBorders>
              <w:top w:val="nil"/>
              <w:left w:val="single" w:sz="4" w:space="0" w:color="auto"/>
              <w:bottom w:val="single" w:sz="4" w:space="0" w:color="auto"/>
              <w:right w:val="single" w:sz="4" w:space="0" w:color="auto"/>
            </w:tcBorders>
            <w:vAlign w:val="center"/>
            <w:hideMark/>
          </w:tcPr>
          <w:p w14:paraId="4062623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14:paraId="195E493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acceptance support</w:t>
            </w:r>
          </w:p>
        </w:tc>
        <w:tc>
          <w:tcPr>
            <w:tcW w:w="2160" w:type="dxa"/>
            <w:vMerge/>
            <w:tcBorders>
              <w:top w:val="nil"/>
              <w:left w:val="single" w:sz="4" w:space="0" w:color="auto"/>
              <w:bottom w:val="single" w:sz="4" w:space="0" w:color="auto"/>
              <w:right w:val="single" w:sz="4" w:space="0" w:color="auto"/>
            </w:tcBorders>
            <w:vAlign w:val="center"/>
            <w:hideMark/>
          </w:tcPr>
          <w:p w14:paraId="512BCB8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vMerge/>
            <w:tcBorders>
              <w:top w:val="nil"/>
              <w:left w:val="single" w:sz="4" w:space="0" w:color="auto"/>
              <w:bottom w:val="single" w:sz="4" w:space="0" w:color="auto"/>
              <w:right w:val="single" w:sz="4" w:space="0" w:color="auto"/>
            </w:tcBorders>
            <w:vAlign w:val="center"/>
            <w:hideMark/>
          </w:tcPr>
          <w:p w14:paraId="182AC56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r>
      <w:tr w:rsidR="00590A8D" w:rsidRPr="002A7D45" w14:paraId="15F33366" w14:textId="77777777" w:rsidTr="007E0A44">
        <w:trPr>
          <w:trHeight w:val="310"/>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E588A07"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release phase</w:t>
            </w:r>
          </w:p>
        </w:tc>
        <w:tc>
          <w:tcPr>
            <w:tcW w:w="1620" w:type="dxa"/>
            <w:tcBorders>
              <w:top w:val="nil"/>
              <w:left w:val="nil"/>
              <w:bottom w:val="single" w:sz="4" w:space="0" w:color="auto"/>
              <w:right w:val="single" w:sz="4" w:space="0" w:color="auto"/>
            </w:tcBorders>
            <w:shd w:val="clear" w:color="auto" w:fill="auto"/>
            <w:vAlign w:val="center"/>
            <w:hideMark/>
          </w:tcPr>
          <w:p w14:paraId="237F2E2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validation</w:t>
            </w:r>
          </w:p>
        </w:tc>
        <w:tc>
          <w:tcPr>
            <w:tcW w:w="1890" w:type="dxa"/>
            <w:vMerge/>
            <w:tcBorders>
              <w:top w:val="nil"/>
              <w:left w:val="single" w:sz="4" w:space="0" w:color="auto"/>
              <w:bottom w:val="single" w:sz="4" w:space="0" w:color="auto"/>
              <w:right w:val="single" w:sz="4" w:space="0" w:color="auto"/>
            </w:tcBorders>
            <w:vAlign w:val="center"/>
            <w:hideMark/>
          </w:tcPr>
          <w:p w14:paraId="611998FA"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160" w:type="dxa"/>
            <w:tcBorders>
              <w:top w:val="nil"/>
              <w:left w:val="nil"/>
              <w:bottom w:val="single" w:sz="4" w:space="0" w:color="auto"/>
              <w:right w:val="single" w:sz="4" w:space="0" w:color="auto"/>
            </w:tcBorders>
            <w:shd w:val="clear" w:color="auto" w:fill="auto"/>
            <w:vAlign w:val="center"/>
            <w:hideMark/>
          </w:tcPr>
          <w:p w14:paraId="2E0EABBA"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production</w:t>
            </w:r>
          </w:p>
        </w:tc>
        <w:tc>
          <w:tcPr>
            <w:tcW w:w="2054" w:type="dxa"/>
            <w:tcBorders>
              <w:top w:val="nil"/>
              <w:left w:val="nil"/>
              <w:bottom w:val="single" w:sz="4" w:space="0" w:color="auto"/>
              <w:right w:val="single" w:sz="4" w:space="0" w:color="auto"/>
            </w:tcBorders>
            <w:shd w:val="clear" w:color="auto" w:fill="auto"/>
            <w:vAlign w:val="center"/>
            <w:hideMark/>
          </w:tcPr>
          <w:p w14:paraId="03DED08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production</w:t>
            </w:r>
          </w:p>
        </w:tc>
      </w:tr>
      <w:tr w:rsidR="00590A8D" w:rsidRPr="002A7D45" w14:paraId="5FC8D617" w14:textId="77777777" w:rsidTr="007E0A44">
        <w:trPr>
          <w:trHeight w:val="310"/>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E078DC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operation phase</w:t>
            </w:r>
          </w:p>
        </w:tc>
        <w:tc>
          <w:tcPr>
            <w:tcW w:w="1620" w:type="dxa"/>
            <w:tcBorders>
              <w:top w:val="nil"/>
              <w:left w:val="nil"/>
              <w:bottom w:val="single" w:sz="4" w:space="0" w:color="auto"/>
              <w:right w:val="single" w:sz="4" w:space="0" w:color="auto"/>
            </w:tcBorders>
            <w:shd w:val="clear" w:color="auto" w:fill="auto"/>
            <w:vAlign w:val="center"/>
            <w:hideMark/>
          </w:tcPr>
          <w:p w14:paraId="53FCE5AD"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operation</w:t>
            </w:r>
          </w:p>
        </w:tc>
        <w:tc>
          <w:tcPr>
            <w:tcW w:w="1890" w:type="dxa"/>
            <w:tcBorders>
              <w:top w:val="nil"/>
              <w:left w:val="nil"/>
              <w:bottom w:val="single" w:sz="4" w:space="0" w:color="auto"/>
              <w:right w:val="single" w:sz="4" w:space="0" w:color="auto"/>
            </w:tcBorders>
            <w:shd w:val="clear" w:color="auto" w:fill="auto"/>
            <w:vAlign w:val="center"/>
            <w:hideMark/>
          </w:tcPr>
          <w:p w14:paraId="2803F93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operation</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3B7B6A06"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operation, service and decommissioning</w:t>
            </w:r>
          </w:p>
        </w:tc>
        <w:tc>
          <w:tcPr>
            <w:tcW w:w="2054" w:type="dxa"/>
            <w:tcBorders>
              <w:top w:val="nil"/>
              <w:left w:val="nil"/>
              <w:bottom w:val="single" w:sz="4" w:space="0" w:color="auto"/>
              <w:right w:val="single" w:sz="4" w:space="0" w:color="auto"/>
            </w:tcBorders>
            <w:shd w:val="clear" w:color="auto" w:fill="auto"/>
            <w:noWrap/>
            <w:vAlign w:val="center"/>
            <w:hideMark/>
          </w:tcPr>
          <w:p w14:paraId="089F3BE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continuous cybersecurity activities</w:t>
            </w:r>
          </w:p>
        </w:tc>
      </w:tr>
      <w:tr w:rsidR="00590A8D" w:rsidRPr="002A7D45" w14:paraId="7AE2E625" w14:textId="77777777" w:rsidTr="007E0A44">
        <w:trPr>
          <w:trHeight w:val="310"/>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6CA28C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tcBorders>
              <w:top w:val="nil"/>
              <w:left w:val="nil"/>
              <w:bottom w:val="single" w:sz="4" w:space="0" w:color="auto"/>
              <w:right w:val="single" w:sz="4" w:space="0" w:color="auto"/>
            </w:tcBorders>
            <w:shd w:val="clear" w:color="auto" w:fill="auto"/>
            <w:vAlign w:val="center"/>
            <w:hideMark/>
          </w:tcPr>
          <w:p w14:paraId="59843B8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maintenance</w:t>
            </w:r>
          </w:p>
        </w:tc>
        <w:tc>
          <w:tcPr>
            <w:tcW w:w="1890" w:type="dxa"/>
            <w:tcBorders>
              <w:top w:val="nil"/>
              <w:left w:val="nil"/>
              <w:bottom w:val="single" w:sz="4" w:space="0" w:color="auto"/>
              <w:right w:val="single" w:sz="4" w:space="0" w:color="auto"/>
            </w:tcBorders>
            <w:shd w:val="clear" w:color="auto" w:fill="auto"/>
            <w:vAlign w:val="center"/>
            <w:hideMark/>
          </w:tcPr>
          <w:p w14:paraId="40EC514E"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maintenance</w:t>
            </w:r>
          </w:p>
        </w:tc>
        <w:tc>
          <w:tcPr>
            <w:tcW w:w="2160" w:type="dxa"/>
            <w:vMerge/>
            <w:tcBorders>
              <w:top w:val="nil"/>
              <w:left w:val="single" w:sz="4" w:space="0" w:color="auto"/>
              <w:bottom w:val="single" w:sz="4" w:space="0" w:color="auto"/>
              <w:right w:val="single" w:sz="4" w:space="0" w:color="auto"/>
            </w:tcBorders>
            <w:vAlign w:val="center"/>
            <w:hideMark/>
          </w:tcPr>
          <w:p w14:paraId="44F7FE1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tcBorders>
              <w:top w:val="nil"/>
              <w:left w:val="nil"/>
              <w:bottom w:val="single" w:sz="4" w:space="0" w:color="auto"/>
              <w:right w:val="single" w:sz="4" w:space="0" w:color="auto"/>
            </w:tcBorders>
            <w:shd w:val="clear" w:color="auto" w:fill="auto"/>
            <w:vAlign w:val="center"/>
            <w:hideMark/>
          </w:tcPr>
          <w:p w14:paraId="78DABF1E"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operation and maintenance</w:t>
            </w:r>
          </w:p>
        </w:tc>
      </w:tr>
      <w:tr w:rsidR="00590A8D" w:rsidRPr="002A7D45" w14:paraId="48BD13D1" w14:textId="77777777" w:rsidTr="007E0A44">
        <w:trPr>
          <w:trHeight w:val="310"/>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DA40A3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decommissioning phase</w:t>
            </w:r>
          </w:p>
        </w:tc>
        <w:tc>
          <w:tcPr>
            <w:tcW w:w="1620" w:type="dxa"/>
            <w:tcBorders>
              <w:top w:val="nil"/>
              <w:left w:val="nil"/>
              <w:bottom w:val="single" w:sz="4" w:space="0" w:color="auto"/>
              <w:right w:val="single" w:sz="4" w:space="0" w:color="auto"/>
            </w:tcBorders>
            <w:shd w:val="clear" w:color="auto" w:fill="auto"/>
            <w:noWrap/>
            <w:vAlign w:val="center"/>
            <w:hideMark/>
          </w:tcPr>
          <w:p w14:paraId="31102AE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disposal</w:t>
            </w:r>
          </w:p>
        </w:tc>
        <w:tc>
          <w:tcPr>
            <w:tcW w:w="1890" w:type="dxa"/>
            <w:tcBorders>
              <w:top w:val="nil"/>
              <w:left w:val="nil"/>
              <w:bottom w:val="single" w:sz="4" w:space="0" w:color="auto"/>
              <w:right w:val="single" w:sz="4" w:space="0" w:color="auto"/>
            </w:tcBorders>
            <w:shd w:val="clear" w:color="auto" w:fill="auto"/>
            <w:noWrap/>
            <w:vAlign w:val="center"/>
            <w:hideMark/>
          </w:tcPr>
          <w:p w14:paraId="544A63D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disposal</w:t>
            </w:r>
          </w:p>
        </w:tc>
        <w:tc>
          <w:tcPr>
            <w:tcW w:w="2160" w:type="dxa"/>
            <w:vMerge/>
            <w:tcBorders>
              <w:top w:val="nil"/>
              <w:left w:val="single" w:sz="4" w:space="0" w:color="auto"/>
              <w:bottom w:val="single" w:sz="4" w:space="0" w:color="auto"/>
              <w:right w:val="single" w:sz="4" w:space="0" w:color="auto"/>
            </w:tcBorders>
            <w:vAlign w:val="center"/>
            <w:hideMark/>
          </w:tcPr>
          <w:p w14:paraId="44E40D7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tcBorders>
              <w:top w:val="nil"/>
              <w:left w:val="nil"/>
              <w:bottom w:val="single" w:sz="4" w:space="0" w:color="auto"/>
              <w:right w:val="single" w:sz="4" w:space="0" w:color="auto"/>
            </w:tcBorders>
            <w:shd w:val="clear" w:color="auto" w:fill="auto"/>
            <w:vAlign w:val="center"/>
            <w:hideMark/>
          </w:tcPr>
          <w:p w14:paraId="7BE62F9A"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decommissioning</w:t>
            </w:r>
          </w:p>
        </w:tc>
      </w:tr>
      <w:tr w:rsidR="00590A8D" w:rsidRPr="002A7D45" w14:paraId="2ED47777" w14:textId="77777777" w:rsidTr="007E0A44">
        <w:trPr>
          <w:trHeight w:val="292"/>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8AE0FE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supplier processes</w:t>
            </w:r>
          </w:p>
        </w:tc>
        <w:tc>
          <w:tcPr>
            <w:tcW w:w="1620" w:type="dxa"/>
            <w:tcBorders>
              <w:top w:val="nil"/>
              <w:left w:val="nil"/>
              <w:bottom w:val="single" w:sz="4" w:space="0" w:color="auto"/>
              <w:right w:val="single" w:sz="4" w:space="0" w:color="auto"/>
            </w:tcBorders>
            <w:shd w:val="clear" w:color="auto" w:fill="auto"/>
            <w:noWrap/>
            <w:vAlign w:val="center"/>
            <w:hideMark/>
          </w:tcPr>
          <w:p w14:paraId="302444E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agreement processes</w:t>
            </w:r>
          </w:p>
        </w:tc>
        <w:tc>
          <w:tcPr>
            <w:tcW w:w="1890" w:type="dxa"/>
            <w:tcBorders>
              <w:top w:val="nil"/>
              <w:left w:val="nil"/>
              <w:bottom w:val="single" w:sz="4" w:space="0" w:color="auto"/>
              <w:right w:val="single" w:sz="4" w:space="0" w:color="auto"/>
            </w:tcBorders>
            <w:shd w:val="clear" w:color="auto" w:fill="auto"/>
            <w:noWrap/>
            <w:vAlign w:val="center"/>
            <w:hideMark/>
          </w:tcPr>
          <w:p w14:paraId="7A74D1B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agreement processes</w:t>
            </w:r>
          </w:p>
        </w:tc>
        <w:tc>
          <w:tcPr>
            <w:tcW w:w="2160" w:type="dxa"/>
            <w:tcBorders>
              <w:top w:val="nil"/>
              <w:left w:val="nil"/>
              <w:bottom w:val="single" w:sz="4" w:space="0" w:color="auto"/>
              <w:right w:val="single" w:sz="4" w:space="0" w:color="auto"/>
            </w:tcBorders>
            <w:shd w:val="clear" w:color="auto" w:fill="auto"/>
            <w:noWrap/>
            <w:vAlign w:val="center"/>
            <w:hideMark/>
          </w:tcPr>
          <w:p w14:paraId="6E9E84B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supporting processes</w:t>
            </w:r>
          </w:p>
        </w:tc>
        <w:tc>
          <w:tcPr>
            <w:tcW w:w="2054" w:type="dxa"/>
            <w:tcBorders>
              <w:top w:val="nil"/>
              <w:left w:val="nil"/>
              <w:bottom w:val="single" w:sz="4" w:space="0" w:color="auto"/>
              <w:right w:val="single" w:sz="4" w:space="0" w:color="auto"/>
            </w:tcBorders>
            <w:shd w:val="clear" w:color="auto" w:fill="auto"/>
            <w:noWrap/>
            <w:vAlign w:val="center"/>
            <w:hideMark/>
          </w:tcPr>
          <w:p w14:paraId="52555616"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distributed cybersecurity activities</w:t>
            </w:r>
          </w:p>
        </w:tc>
      </w:tr>
    </w:tbl>
    <w:p w14:paraId="55FB2411" w14:textId="77777777" w:rsidR="000F4D5C" w:rsidRDefault="000F4D5C"/>
    <w:p w14:paraId="4F7BE3C8" w14:textId="788BA1D7" w:rsidR="000F4D5C" w:rsidRDefault="000F4D5C" w:rsidP="007E0A44">
      <w:pPr>
        <w:pStyle w:val="Heading1"/>
      </w:pPr>
      <w:r>
        <w:lastRenderedPageBreak/>
        <w:t>Phase Gates</w:t>
      </w:r>
    </w:p>
    <w:p w14:paraId="5D5015BC" w14:textId="11FFAE61" w:rsidR="00E81FE4" w:rsidRPr="000F4D5C" w:rsidRDefault="007E0A44" w:rsidP="00C6610C">
      <w:pPr>
        <w:jc w:val="both"/>
      </w:pPr>
      <w:r>
        <w:t xml:space="preserve">In order to ensure that no group’s processes go unfulfilled, phase gates must be used. </w:t>
      </w:r>
      <w:r w:rsidR="00FE5DEC" w:rsidRPr="000F4D5C">
        <w:t>Phase gates would be located in a</w:t>
      </w:r>
      <w:r w:rsidR="00BE717A" w:rsidRPr="000F4D5C">
        <w:t>ny</w:t>
      </w:r>
      <w:r w:rsidR="00FE5DEC" w:rsidRPr="000F4D5C">
        <w:t xml:space="preserve"> phase </w:t>
      </w:r>
      <w:r w:rsidR="00BE717A" w:rsidRPr="000F4D5C">
        <w:t xml:space="preserve">where a </w:t>
      </w:r>
      <w:r>
        <w:t>group</w:t>
      </w:r>
      <w:r w:rsidR="00BE717A" w:rsidRPr="000F4D5C">
        <w:t xml:space="preserve"> </w:t>
      </w:r>
      <w:r w:rsidR="00161958">
        <w:t>identified their need</w:t>
      </w:r>
      <w:r w:rsidR="00FE5DEC" w:rsidRPr="000F4D5C">
        <w:t xml:space="preserve">. This arrangement allows for a single phase gate to exist satisfying all </w:t>
      </w:r>
      <w:r w:rsidR="00BE717A" w:rsidRPr="000F4D5C">
        <w:t>team</w:t>
      </w:r>
      <w:r w:rsidR="00FE5DEC" w:rsidRPr="000F4D5C">
        <w:t xml:space="preserve"> requirements for that phase.</w:t>
      </w:r>
      <w:r w:rsidR="00BA6092" w:rsidRPr="000F4D5C">
        <w:t xml:space="preserve"> The following table shows the gates </w:t>
      </w:r>
      <w:r w:rsidR="003E1348">
        <w:t>(</w:t>
      </w:r>
      <w:r w:rsidR="003E1348" w:rsidRPr="003E1348">
        <w:rPr>
          <w:rFonts w:ascii="Wingdings 2" w:eastAsia="Times New Roman" w:hAnsi="Wingdings 2" w:cs="Apple Color Emoji"/>
          <w:color w:val="000000"/>
          <w:sz w:val="20"/>
          <w:szCs w:val="20"/>
          <w:lang w:val="en-US"/>
        </w:rPr>
        <w:t>¯</w:t>
      </w:r>
      <w:r w:rsidR="003E1348">
        <w:t xml:space="preserve">) </w:t>
      </w:r>
      <w:r w:rsidR="00BA6092" w:rsidRPr="000F4D5C">
        <w:t xml:space="preserve">required by </w:t>
      </w:r>
      <w:r w:rsidR="00161958">
        <w:t>the cybersecurity and project management</w:t>
      </w:r>
      <w:r w:rsidR="00BA6092" w:rsidRPr="000F4D5C">
        <w:t xml:space="preserve"> teams:</w:t>
      </w:r>
    </w:p>
    <w:p w14:paraId="52C369F2" w14:textId="4B272519" w:rsidR="00BA6092" w:rsidRDefault="00BA6092">
      <w:pPr>
        <w:jc w:val="both"/>
      </w:pPr>
    </w:p>
    <w:tbl>
      <w:tblPr>
        <w:tblW w:w="9218" w:type="dxa"/>
        <w:jc w:val="center"/>
        <w:tblLook w:val="04A0" w:firstRow="1" w:lastRow="0" w:firstColumn="1" w:lastColumn="0" w:noHBand="0" w:noVBand="1"/>
      </w:tblPr>
      <w:tblGrid>
        <w:gridCol w:w="523"/>
        <w:gridCol w:w="1982"/>
        <w:gridCol w:w="1063"/>
        <w:gridCol w:w="1063"/>
        <w:gridCol w:w="1063"/>
        <w:gridCol w:w="1229"/>
        <w:gridCol w:w="1229"/>
        <w:gridCol w:w="1066"/>
      </w:tblGrid>
      <w:tr w:rsidR="003E1348" w:rsidRPr="003E1348" w14:paraId="34433C37" w14:textId="77777777" w:rsidTr="003E1348">
        <w:trPr>
          <w:trHeight w:val="265"/>
          <w:jc w:val="center"/>
        </w:trPr>
        <w:tc>
          <w:tcPr>
            <w:tcW w:w="2505" w:type="dxa"/>
            <w:gridSpan w:val="2"/>
            <w:tcBorders>
              <w:top w:val="single" w:sz="4" w:space="0" w:color="auto"/>
              <w:left w:val="single" w:sz="4" w:space="0" w:color="auto"/>
              <w:bottom w:val="single" w:sz="4" w:space="0" w:color="auto"/>
              <w:right w:val="single" w:sz="4" w:space="0" w:color="000000"/>
            </w:tcBorders>
            <w:shd w:val="clear" w:color="000000" w:fill="DDEBF7"/>
            <w:noWrap/>
            <w:hideMark/>
          </w:tcPr>
          <w:p w14:paraId="6F0F261F"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 </w:t>
            </w:r>
          </w:p>
        </w:tc>
        <w:tc>
          <w:tcPr>
            <w:tcW w:w="1063" w:type="dxa"/>
            <w:tcBorders>
              <w:top w:val="single" w:sz="4" w:space="0" w:color="auto"/>
              <w:left w:val="nil"/>
              <w:bottom w:val="single" w:sz="4" w:space="0" w:color="auto"/>
              <w:right w:val="single" w:sz="4" w:space="0" w:color="auto"/>
            </w:tcBorders>
            <w:shd w:val="clear" w:color="000000" w:fill="DDEBF7"/>
            <w:noWrap/>
            <w:hideMark/>
          </w:tcPr>
          <w:p w14:paraId="333670C5"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Security</w:t>
            </w:r>
          </w:p>
        </w:tc>
        <w:tc>
          <w:tcPr>
            <w:tcW w:w="1063" w:type="dxa"/>
            <w:tcBorders>
              <w:top w:val="single" w:sz="4" w:space="0" w:color="auto"/>
              <w:left w:val="nil"/>
              <w:bottom w:val="single" w:sz="4" w:space="0" w:color="auto"/>
              <w:right w:val="single" w:sz="4" w:space="0" w:color="auto"/>
            </w:tcBorders>
            <w:shd w:val="clear" w:color="000000" w:fill="DDEBF7"/>
            <w:noWrap/>
            <w:hideMark/>
          </w:tcPr>
          <w:p w14:paraId="4A90F2A2"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Safety</w:t>
            </w:r>
          </w:p>
        </w:tc>
        <w:tc>
          <w:tcPr>
            <w:tcW w:w="1063" w:type="dxa"/>
            <w:tcBorders>
              <w:top w:val="single" w:sz="4" w:space="0" w:color="auto"/>
              <w:left w:val="nil"/>
              <w:bottom w:val="single" w:sz="4" w:space="0" w:color="auto"/>
              <w:right w:val="single" w:sz="4" w:space="0" w:color="auto"/>
            </w:tcBorders>
            <w:shd w:val="clear" w:color="000000" w:fill="DDEBF7"/>
            <w:noWrap/>
            <w:hideMark/>
          </w:tcPr>
          <w:p w14:paraId="35B90C1D"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PMO</w:t>
            </w:r>
          </w:p>
        </w:tc>
        <w:tc>
          <w:tcPr>
            <w:tcW w:w="1229" w:type="dxa"/>
            <w:tcBorders>
              <w:top w:val="single" w:sz="4" w:space="0" w:color="auto"/>
              <w:left w:val="nil"/>
              <w:bottom w:val="single" w:sz="4" w:space="0" w:color="auto"/>
              <w:right w:val="single" w:sz="4" w:space="0" w:color="auto"/>
            </w:tcBorders>
            <w:shd w:val="clear" w:color="000000" w:fill="DDEBF7"/>
            <w:noWrap/>
            <w:hideMark/>
          </w:tcPr>
          <w:p w14:paraId="17129785"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Hardware</w:t>
            </w:r>
          </w:p>
        </w:tc>
        <w:tc>
          <w:tcPr>
            <w:tcW w:w="1229" w:type="dxa"/>
            <w:tcBorders>
              <w:top w:val="single" w:sz="4" w:space="0" w:color="auto"/>
              <w:left w:val="nil"/>
              <w:bottom w:val="single" w:sz="4" w:space="0" w:color="auto"/>
              <w:right w:val="single" w:sz="4" w:space="0" w:color="auto"/>
            </w:tcBorders>
            <w:shd w:val="clear" w:color="000000" w:fill="DDEBF7"/>
            <w:noWrap/>
            <w:hideMark/>
          </w:tcPr>
          <w:p w14:paraId="3F4B7AC5"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Software</w:t>
            </w:r>
          </w:p>
        </w:tc>
        <w:tc>
          <w:tcPr>
            <w:tcW w:w="1066" w:type="dxa"/>
            <w:tcBorders>
              <w:top w:val="single" w:sz="4" w:space="0" w:color="auto"/>
              <w:left w:val="nil"/>
              <w:bottom w:val="single" w:sz="4" w:space="0" w:color="auto"/>
              <w:right w:val="single" w:sz="4" w:space="0" w:color="auto"/>
            </w:tcBorders>
            <w:shd w:val="clear" w:color="000000" w:fill="DDEBF7"/>
            <w:noWrap/>
            <w:hideMark/>
          </w:tcPr>
          <w:p w14:paraId="4DB1ACE9"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Quality</w:t>
            </w:r>
          </w:p>
        </w:tc>
      </w:tr>
      <w:tr w:rsidR="003E1348" w:rsidRPr="003E1348" w14:paraId="20148277" w14:textId="77777777" w:rsidTr="003E1348">
        <w:trPr>
          <w:trHeight w:val="265"/>
          <w:jc w:val="center"/>
        </w:trPr>
        <w:tc>
          <w:tcPr>
            <w:tcW w:w="2505" w:type="dxa"/>
            <w:gridSpan w:val="2"/>
            <w:tcBorders>
              <w:top w:val="single" w:sz="4" w:space="0" w:color="auto"/>
              <w:left w:val="single" w:sz="4" w:space="0" w:color="auto"/>
              <w:bottom w:val="single" w:sz="4" w:space="0" w:color="auto"/>
              <w:right w:val="single" w:sz="4" w:space="0" w:color="000000"/>
            </w:tcBorders>
            <w:shd w:val="clear" w:color="000000" w:fill="DDEBF7"/>
            <w:noWrap/>
            <w:hideMark/>
          </w:tcPr>
          <w:p w14:paraId="1269CE18"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organization processes</w:t>
            </w:r>
          </w:p>
        </w:tc>
        <w:tc>
          <w:tcPr>
            <w:tcW w:w="6713" w:type="dxa"/>
            <w:gridSpan w:val="6"/>
            <w:tcBorders>
              <w:top w:val="single" w:sz="4" w:space="0" w:color="auto"/>
              <w:left w:val="nil"/>
              <w:bottom w:val="single" w:sz="4" w:space="0" w:color="auto"/>
              <w:right w:val="single" w:sz="4" w:space="0" w:color="auto"/>
            </w:tcBorders>
            <w:shd w:val="clear" w:color="000000" w:fill="FCE4D6"/>
            <w:hideMark/>
          </w:tcPr>
          <w:p w14:paraId="00142678" w14:textId="77777777" w:rsidR="003E1348" w:rsidRPr="003E1348" w:rsidRDefault="003E1348" w:rsidP="003E1348">
            <w:pPr>
              <w:spacing w:line="240" w:lineRule="auto"/>
              <w:jc w:val="center"/>
              <w:rPr>
                <w:rFonts w:ascii="Calibri" w:eastAsia="Times New Roman" w:hAnsi="Calibri" w:cs="Calibri"/>
                <w:color w:val="000000"/>
                <w:sz w:val="24"/>
                <w:szCs w:val="24"/>
                <w:lang w:val="en-US"/>
              </w:rPr>
            </w:pPr>
            <w:r w:rsidRPr="003E1348">
              <w:rPr>
                <w:rFonts w:ascii="Calibri" w:eastAsia="Times New Roman" w:hAnsi="Calibri" w:cs="Calibri"/>
                <w:color w:val="000000"/>
                <w:sz w:val="24"/>
                <w:szCs w:val="24"/>
                <w:lang w:val="en-US"/>
              </w:rPr>
              <w:t>N/A</w:t>
            </w:r>
          </w:p>
        </w:tc>
      </w:tr>
      <w:tr w:rsidR="003E1348" w:rsidRPr="003E1348" w14:paraId="249E88B4" w14:textId="77777777" w:rsidTr="003E1348">
        <w:trPr>
          <w:trHeight w:val="282"/>
          <w:jc w:val="center"/>
        </w:trPr>
        <w:tc>
          <w:tcPr>
            <w:tcW w:w="523" w:type="dxa"/>
            <w:vMerge w:val="restart"/>
            <w:tcBorders>
              <w:top w:val="nil"/>
              <w:left w:val="single" w:sz="4" w:space="0" w:color="auto"/>
              <w:bottom w:val="single" w:sz="4" w:space="0" w:color="auto"/>
              <w:right w:val="single" w:sz="4" w:space="0" w:color="auto"/>
            </w:tcBorders>
            <w:shd w:val="clear" w:color="000000" w:fill="DDEBF7"/>
            <w:noWrap/>
            <w:textDirection w:val="btLr"/>
            <w:hideMark/>
          </w:tcPr>
          <w:p w14:paraId="4DDDE3E6"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phases</w:t>
            </w:r>
          </w:p>
        </w:tc>
        <w:tc>
          <w:tcPr>
            <w:tcW w:w="1982" w:type="dxa"/>
            <w:tcBorders>
              <w:top w:val="nil"/>
              <w:left w:val="nil"/>
              <w:bottom w:val="single" w:sz="4" w:space="0" w:color="auto"/>
              <w:right w:val="single" w:sz="4" w:space="0" w:color="auto"/>
            </w:tcBorders>
            <w:shd w:val="clear" w:color="000000" w:fill="DDEBF7"/>
            <w:noWrap/>
            <w:hideMark/>
          </w:tcPr>
          <w:p w14:paraId="547CDFC5"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foundation</w:t>
            </w:r>
          </w:p>
        </w:tc>
        <w:tc>
          <w:tcPr>
            <w:tcW w:w="1063" w:type="dxa"/>
            <w:tcBorders>
              <w:top w:val="nil"/>
              <w:left w:val="nil"/>
              <w:bottom w:val="single" w:sz="4" w:space="0" w:color="auto"/>
              <w:right w:val="single" w:sz="4" w:space="0" w:color="auto"/>
            </w:tcBorders>
            <w:shd w:val="clear" w:color="auto" w:fill="auto"/>
            <w:vAlign w:val="center"/>
            <w:hideMark/>
          </w:tcPr>
          <w:p w14:paraId="55A17403" w14:textId="45709A3E"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000000" w:fill="FFFF00"/>
            <w:noWrap/>
            <w:vAlign w:val="center"/>
            <w:hideMark/>
          </w:tcPr>
          <w:p w14:paraId="2DEC8310" w14:textId="25114C24"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vAlign w:val="center"/>
            <w:hideMark/>
          </w:tcPr>
          <w:p w14:paraId="656CCCD5" w14:textId="7469C7B0" w:rsidR="003E1348" w:rsidRPr="003E1348" w:rsidRDefault="003E1348" w:rsidP="003E1348">
            <w:pPr>
              <w:spacing w:line="240" w:lineRule="auto"/>
              <w:jc w:val="center"/>
              <w:rPr>
                <w:rFonts w:ascii="Calibri" w:eastAsia="Times New Roman" w:hAnsi="Calibri" w:cs="Calibri"/>
                <w:color w:val="000000"/>
                <w:sz w:val="24"/>
                <w:szCs w:val="24"/>
                <w:lang w:val="en-US"/>
              </w:rPr>
            </w:pPr>
            <w:r>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19FB0749" w14:textId="744BA95C"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4E533151" w14:textId="1A9C7410"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6897DA4C" w14:textId="7FF868F4"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57E7B34A" w14:textId="77777777" w:rsidTr="003E1348">
        <w:trPr>
          <w:trHeight w:val="282"/>
          <w:jc w:val="center"/>
        </w:trPr>
        <w:tc>
          <w:tcPr>
            <w:tcW w:w="523" w:type="dxa"/>
            <w:vMerge/>
            <w:tcBorders>
              <w:top w:val="nil"/>
              <w:left w:val="single" w:sz="4" w:space="0" w:color="auto"/>
              <w:bottom w:val="single" w:sz="4" w:space="0" w:color="auto"/>
              <w:right w:val="single" w:sz="4" w:space="0" w:color="auto"/>
            </w:tcBorders>
            <w:hideMark/>
          </w:tcPr>
          <w:p w14:paraId="70EF14DD"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1F005A53"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requirements</w:t>
            </w:r>
          </w:p>
        </w:tc>
        <w:tc>
          <w:tcPr>
            <w:tcW w:w="1063" w:type="dxa"/>
            <w:tcBorders>
              <w:top w:val="nil"/>
              <w:left w:val="nil"/>
              <w:bottom w:val="single" w:sz="4" w:space="0" w:color="auto"/>
              <w:right w:val="single" w:sz="4" w:space="0" w:color="auto"/>
            </w:tcBorders>
            <w:shd w:val="clear" w:color="auto" w:fill="auto"/>
            <w:vAlign w:val="center"/>
            <w:hideMark/>
          </w:tcPr>
          <w:p w14:paraId="6B95D553" w14:textId="783D7ED0" w:rsidR="003E1348" w:rsidRPr="003E1348" w:rsidRDefault="003E1348" w:rsidP="003E1348">
            <w:pPr>
              <w:spacing w:line="240" w:lineRule="auto"/>
              <w:jc w:val="center"/>
              <w:rPr>
                <w:rFonts w:ascii="Calibri" w:eastAsia="Times New Roman" w:hAnsi="Calibri" w:cs="Calibri"/>
                <w:color w:val="000000"/>
                <w:sz w:val="24"/>
                <w:szCs w:val="24"/>
                <w:lang w:val="en-US"/>
              </w:rPr>
            </w:pPr>
            <w:r>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6E25D3AD" w14:textId="23A2D0BB"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noWrap/>
            <w:vAlign w:val="center"/>
            <w:hideMark/>
          </w:tcPr>
          <w:p w14:paraId="3C367DDF" w14:textId="0BDA049C"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1187AEC1" w14:textId="15AD2410"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1D47D451" w14:textId="7F1D45E7"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67A8F5B9" w14:textId="77DF4D9A"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180FFFD5" w14:textId="77777777" w:rsidTr="003E1348">
        <w:trPr>
          <w:trHeight w:val="282"/>
          <w:jc w:val="center"/>
        </w:trPr>
        <w:tc>
          <w:tcPr>
            <w:tcW w:w="523" w:type="dxa"/>
            <w:vMerge/>
            <w:tcBorders>
              <w:top w:val="nil"/>
              <w:left w:val="single" w:sz="4" w:space="0" w:color="auto"/>
              <w:bottom w:val="single" w:sz="4" w:space="0" w:color="auto"/>
              <w:right w:val="single" w:sz="4" w:space="0" w:color="auto"/>
            </w:tcBorders>
            <w:hideMark/>
          </w:tcPr>
          <w:p w14:paraId="6ED60C1A"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249B22B4"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design</w:t>
            </w:r>
          </w:p>
        </w:tc>
        <w:tc>
          <w:tcPr>
            <w:tcW w:w="1063" w:type="dxa"/>
            <w:tcBorders>
              <w:top w:val="nil"/>
              <w:left w:val="nil"/>
              <w:bottom w:val="single" w:sz="4" w:space="0" w:color="auto"/>
              <w:right w:val="single" w:sz="4" w:space="0" w:color="auto"/>
            </w:tcBorders>
            <w:shd w:val="clear" w:color="auto" w:fill="auto"/>
            <w:vAlign w:val="center"/>
            <w:hideMark/>
          </w:tcPr>
          <w:p w14:paraId="6E8F2489" w14:textId="0CB174C8" w:rsidR="003E1348" w:rsidRPr="003E1348" w:rsidRDefault="003E1348" w:rsidP="003E1348">
            <w:pPr>
              <w:spacing w:line="240" w:lineRule="auto"/>
              <w:jc w:val="center"/>
              <w:rPr>
                <w:rFonts w:ascii="Calibri" w:eastAsia="Times New Roman" w:hAnsi="Calibri" w:cs="Calibri"/>
                <w:color w:val="000000"/>
                <w:sz w:val="24"/>
                <w:szCs w:val="24"/>
                <w:lang w:val="en-US"/>
              </w:rPr>
            </w:pPr>
            <w:r w:rsidRPr="0063553C">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0479911C" w14:textId="382E4CA2"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vAlign w:val="center"/>
            <w:hideMark/>
          </w:tcPr>
          <w:p w14:paraId="46C0A408" w14:textId="63644E63" w:rsidR="003E1348" w:rsidRPr="003E1348" w:rsidRDefault="003E1348" w:rsidP="003E1348">
            <w:pPr>
              <w:spacing w:line="240" w:lineRule="auto"/>
              <w:jc w:val="center"/>
              <w:rPr>
                <w:rFonts w:ascii="Calibri" w:eastAsia="Times New Roman" w:hAnsi="Calibri" w:cs="Calibri"/>
                <w:color w:val="000000"/>
                <w:sz w:val="24"/>
                <w:szCs w:val="24"/>
                <w:lang w:val="en-US"/>
              </w:rPr>
            </w:pPr>
            <w:r w:rsidRPr="00917300">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67619DF9" w14:textId="2E4D342F"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26F635D8" w14:textId="210FA2AF"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4E7C77E2" w14:textId="4CB0FB9D"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4BEF6E1F" w14:textId="77777777" w:rsidTr="003E1348">
        <w:trPr>
          <w:trHeight w:val="265"/>
          <w:jc w:val="center"/>
        </w:trPr>
        <w:tc>
          <w:tcPr>
            <w:tcW w:w="523" w:type="dxa"/>
            <w:vMerge/>
            <w:tcBorders>
              <w:top w:val="nil"/>
              <w:left w:val="single" w:sz="4" w:space="0" w:color="auto"/>
              <w:bottom w:val="single" w:sz="4" w:space="0" w:color="auto"/>
              <w:right w:val="single" w:sz="4" w:space="0" w:color="auto"/>
            </w:tcBorders>
            <w:hideMark/>
          </w:tcPr>
          <w:p w14:paraId="38D642FB"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0ED45E4B"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implementation</w:t>
            </w:r>
          </w:p>
        </w:tc>
        <w:tc>
          <w:tcPr>
            <w:tcW w:w="1063" w:type="dxa"/>
            <w:tcBorders>
              <w:top w:val="nil"/>
              <w:left w:val="nil"/>
              <w:bottom w:val="single" w:sz="4" w:space="0" w:color="auto"/>
              <w:right w:val="single" w:sz="4" w:space="0" w:color="auto"/>
            </w:tcBorders>
            <w:shd w:val="clear" w:color="auto" w:fill="auto"/>
            <w:vAlign w:val="center"/>
            <w:hideMark/>
          </w:tcPr>
          <w:p w14:paraId="04322530" w14:textId="4027768B" w:rsidR="003E1348" w:rsidRPr="003E1348" w:rsidRDefault="003E1348" w:rsidP="003E1348">
            <w:pPr>
              <w:spacing w:line="240" w:lineRule="auto"/>
              <w:jc w:val="center"/>
              <w:rPr>
                <w:rFonts w:ascii="Calibri" w:eastAsia="Times New Roman" w:hAnsi="Calibri" w:cs="Calibri"/>
                <w:color w:val="000000"/>
                <w:sz w:val="24"/>
                <w:szCs w:val="24"/>
                <w:lang w:val="en-US"/>
              </w:rPr>
            </w:pPr>
            <w:r w:rsidRPr="0063553C">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12C94FEC" w14:textId="633EAD41"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noWrap/>
            <w:vAlign w:val="center"/>
            <w:hideMark/>
          </w:tcPr>
          <w:p w14:paraId="500BCE06" w14:textId="53A22F6E" w:rsidR="003E1348" w:rsidRPr="003E1348" w:rsidRDefault="003E1348" w:rsidP="003E1348">
            <w:pPr>
              <w:spacing w:line="240" w:lineRule="auto"/>
              <w:jc w:val="center"/>
              <w:rPr>
                <w:rFonts w:ascii="Calibri" w:eastAsia="Times New Roman" w:hAnsi="Calibri" w:cs="Calibri"/>
                <w:color w:val="000000"/>
                <w:sz w:val="24"/>
                <w:szCs w:val="24"/>
                <w:lang w:val="en-US"/>
              </w:rPr>
            </w:pPr>
            <w:r w:rsidRPr="00917300">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6FEBAC58" w14:textId="62D7B5A8"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3F3FA8F3" w14:textId="6FE0DF79"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08414B39" w14:textId="3CB19AD0"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41B93E6D" w14:textId="77777777" w:rsidTr="003E1348">
        <w:trPr>
          <w:trHeight w:val="265"/>
          <w:jc w:val="center"/>
        </w:trPr>
        <w:tc>
          <w:tcPr>
            <w:tcW w:w="523" w:type="dxa"/>
            <w:vMerge/>
            <w:tcBorders>
              <w:top w:val="nil"/>
              <w:left w:val="single" w:sz="4" w:space="0" w:color="auto"/>
              <w:bottom w:val="single" w:sz="4" w:space="0" w:color="auto"/>
              <w:right w:val="single" w:sz="4" w:space="0" w:color="auto"/>
            </w:tcBorders>
            <w:hideMark/>
          </w:tcPr>
          <w:p w14:paraId="3B607FBE"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001165C2"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verification</w:t>
            </w:r>
          </w:p>
        </w:tc>
        <w:tc>
          <w:tcPr>
            <w:tcW w:w="1063" w:type="dxa"/>
            <w:tcBorders>
              <w:top w:val="nil"/>
              <w:left w:val="nil"/>
              <w:bottom w:val="single" w:sz="4" w:space="0" w:color="auto"/>
              <w:right w:val="single" w:sz="4" w:space="0" w:color="auto"/>
            </w:tcBorders>
            <w:shd w:val="clear" w:color="auto" w:fill="auto"/>
            <w:vAlign w:val="center"/>
            <w:hideMark/>
          </w:tcPr>
          <w:p w14:paraId="36796CC3" w14:textId="08E419E4" w:rsidR="003E1348" w:rsidRPr="003E1348" w:rsidRDefault="003E1348" w:rsidP="003E1348">
            <w:pPr>
              <w:spacing w:line="240" w:lineRule="auto"/>
              <w:jc w:val="center"/>
              <w:rPr>
                <w:rFonts w:ascii="Calibri" w:eastAsia="Times New Roman" w:hAnsi="Calibri" w:cs="Calibri"/>
                <w:color w:val="000000"/>
                <w:sz w:val="24"/>
                <w:szCs w:val="24"/>
                <w:lang w:val="en-US"/>
              </w:rPr>
            </w:pPr>
            <w:r w:rsidRPr="0063553C">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6B4E51E6" w14:textId="76897E9C"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vAlign w:val="center"/>
            <w:hideMark/>
          </w:tcPr>
          <w:p w14:paraId="36A8E2F6" w14:textId="70BEC3C4" w:rsidR="003E1348" w:rsidRPr="003E1348" w:rsidRDefault="003E1348" w:rsidP="003E1348">
            <w:pPr>
              <w:spacing w:line="240" w:lineRule="auto"/>
              <w:jc w:val="center"/>
              <w:rPr>
                <w:rFonts w:ascii="Calibri" w:eastAsia="Times New Roman" w:hAnsi="Calibri" w:cs="Calibri"/>
                <w:color w:val="000000"/>
                <w:sz w:val="24"/>
                <w:szCs w:val="24"/>
                <w:lang w:val="en-US"/>
              </w:rPr>
            </w:pPr>
            <w:r w:rsidRPr="00917300">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0817BB55" w14:textId="0860CBEC"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117A55B1" w14:textId="20EA253D"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1D36286A" w14:textId="048D032B"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777835CA" w14:textId="77777777" w:rsidTr="003E1348">
        <w:trPr>
          <w:trHeight w:val="282"/>
          <w:jc w:val="center"/>
        </w:trPr>
        <w:tc>
          <w:tcPr>
            <w:tcW w:w="523" w:type="dxa"/>
            <w:vMerge/>
            <w:tcBorders>
              <w:top w:val="nil"/>
              <w:left w:val="single" w:sz="4" w:space="0" w:color="auto"/>
              <w:bottom w:val="single" w:sz="4" w:space="0" w:color="auto"/>
              <w:right w:val="single" w:sz="4" w:space="0" w:color="auto"/>
            </w:tcBorders>
            <w:hideMark/>
          </w:tcPr>
          <w:p w14:paraId="7A9CC638"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6B6D3E63"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release</w:t>
            </w:r>
          </w:p>
        </w:tc>
        <w:tc>
          <w:tcPr>
            <w:tcW w:w="1063" w:type="dxa"/>
            <w:tcBorders>
              <w:top w:val="nil"/>
              <w:left w:val="nil"/>
              <w:bottom w:val="single" w:sz="4" w:space="0" w:color="auto"/>
              <w:right w:val="single" w:sz="4" w:space="0" w:color="auto"/>
            </w:tcBorders>
            <w:shd w:val="clear" w:color="auto" w:fill="auto"/>
            <w:vAlign w:val="center"/>
            <w:hideMark/>
          </w:tcPr>
          <w:p w14:paraId="58FF5978" w14:textId="28FB2D76" w:rsidR="003E1348" w:rsidRPr="003E1348" w:rsidRDefault="003E1348" w:rsidP="003E1348">
            <w:pPr>
              <w:spacing w:line="240" w:lineRule="auto"/>
              <w:jc w:val="center"/>
              <w:rPr>
                <w:rFonts w:ascii="Calibri" w:eastAsia="Times New Roman" w:hAnsi="Calibri" w:cs="Calibri"/>
                <w:color w:val="000000"/>
                <w:sz w:val="24"/>
                <w:szCs w:val="24"/>
                <w:lang w:val="en-US"/>
              </w:rPr>
            </w:pPr>
            <w:r w:rsidRPr="0063553C">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57183406" w14:textId="13CB2B5F"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vAlign w:val="center"/>
            <w:hideMark/>
          </w:tcPr>
          <w:p w14:paraId="5690A571" w14:textId="2812D82C" w:rsidR="003E1348" w:rsidRPr="003E1348" w:rsidRDefault="003E1348" w:rsidP="003E1348">
            <w:pPr>
              <w:spacing w:line="240" w:lineRule="auto"/>
              <w:jc w:val="center"/>
              <w:rPr>
                <w:rFonts w:ascii="Calibri" w:eastAsia="Times New Roman" w:hAnsi="Calibri" w:cs="Calibri"/>
                <w:color w:val="000000"/>
                <w:sz w:val="24"/>
                <w:szCs w:val="24"/>
                <w:lang w:val="en-US"/>
              </w:rPr>
            </w:pPr>
            <w:r w:rsidRPr="00917300">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0627C309" w14:textId="047BC0B4"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3E71E1B9" w14:textId="51A34770"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31ED4B8D" w14:textId="30BF47C9"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474E9B9E" w14:textId="77777777" w:rsidTr="003E1348">
        <w:trPr>
          <w:trHeight w:val="265"/>
          <w:jc w:val="center"/>
        </w:trPr>
        <w:tc>
          <w:tcPr>
            <w:tcW w:w="523" w:type="dxa"/>
            <w:vMerge/>
            <w:tcBorders>
              <w:top w:val="nil"/>
              <w:left w:val="single" w:sz="4" w:space="0" w:color="auto"/>
              <w:bottom w:val="single" w:sz="4" w:space="0" w:color="auto"/>
              <w:right w:val="single" w:sz="4" w:space="0" w:color="auto"/>
            </w:tcBorders>
            <w:hideMark/>
          </w:tcPr>
          <w:p w14:paraId="59B470DB"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7A5A5FBD"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operation</w:t>
            </w:r>
          </w:p>
        </w:tc>
        <w:tc>
          <w:tcPr>
            <w:tcW w:w="6713" w:type="dxa"/>
            <w:gridSpan w:val="6"/>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17E239" w14:textId="77777777" w:rsidR="003E1348" w:rsidRPr="003E1348" w:rsidRDefault="003E1348" w:rsidP="003E1348">
            <w:pPr>
              <w:spacing w:line="240" w:lineRule="auto"/>
              <w:jc w:val="center"/>
              <w:rPr>
                <w:rFonts w:ascii="Calibri" w:eastAsia="Times New Roman" w:hAnsi="Calibri" w:cs="Calibri"/>
                <w:color w:val="000000"/>
                <w:sz w:val="24"/>
                <w:szCs w:val="24"/>
                <w:lang w:val="en-US"/>
              </w:rPr>
            </w:pPr>
            <w:r w:rsidRPr="003E1348">
              <w:rPr>
                <w:rFonts w:ascii="Calibri" w:eastAsia="Times New Roman" w:hAnsi="Calibri" w:cs="Calibri"/>
                <w:color w:val="000000"/>
                <w:sz w:val="24"/>
                <w:szCs w:val="24"/>
                <w:lang w:val="en-US"/>
              </w:rPr>
              <w:t>N/A</w:t>
            </w:r>
          </w:p>
        </w:tc>
      </w:tr>
      <w:tr w:rsidR="003E1348" w:rsidRPr="003E1348" w14:paraId="32E6AE5E" w14:textId="77777777" w:rsidTr="003E1348">
        <w:trPr>
          <w:trHeight w:val="265"/>
          <w:jc w:val="center"/>
        </w:trPr>
        <w:tc>
          <w:tcPr>
            <w:tcW w:w="523" w:type="dxa"/>
            <w:vMerge/>
            <w:tcBorders>
              <w:top w:val="nil"/>
              <w:left w:val="single" w:sz="4" w:space="0" w:color="auto"/>
              <w:bottom w:val="single" w:sz="4" w:space="0" w:color="auto"/>
              <w:right w:val="single" w:sz="4" w:space="0" w:color="auto"/>
            </w:tcBorders>
            <w:hideMark/>
          </w:tcPr>
          <w:p w14:paraId="2DB4E06E"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0F12A23F"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decommissioning</w:t>
            </w:r>
          </w:p>
        </w:tc>
        <w:tc>
          <w:tcPr>
            <w:tcW w:w="6713" w:type="dxa"/>
            <w:gridSpan w:val="6"/>
            <w:vMerge/>
            <w:tcBorders>
              <w:top w:val="nil"/>
              <w:left w:val="nil"/>
              <w:bottom w:val="single" w:sz="4" w:space="0" w:color="auto"/>
              <w:right w:val="single" w:sz="4" w:space="0" w:color="auto"/>
            </w:tcBorders>
            <w:hideMark/>
          </w:tcPr>
          <w:p w14:paraId="58E70CE6" w14:textId="77777777" w:rsidR="003E1348" w:rsidRPr="003E1348" w:rsidRDefault="003E1348" w:rsidP="003E1348">
            <w:pPr>
              <w:spacing w:line="240" w:lineRule="auto"/>
              <w:rPr>
                <w:rFonts w:ascii="Calibri" w:eastAsia="Times New Roman" w:hAnsi="Calibri" w:cs="Calibri"/>
                <w:color w:val="000000"/>
                <w:sz w:val="24"/>
                <w:szCs w:val="24"/>
                <w:lang w:val="en-US"/>
              </w:rPr>
            </w:pPr>
          </w:p>
        </w:tc>
      </w:tr>
      <w:tr w:rsidR="003E1348" w:rsidRPr="003E1348" w14:paraId="5D449935" w14:textId="77777777" w:rsidTr="003E1348">
        <w:trPr>
          <w:trHeight w:val="282"/>
          <w:jc w:val="center"/>
        </w:trPr>
        <w:tc>
          <w:tcPr>
            <w:tcW w:w="2505" w:type="dxa"/>
            <w:gridSpan w:val="2"/>
            <w:tcBorders>
              <w:top w:val="single" w:sz="4" w:space="0" w:color="auto"/>
              <w:left w:val="single" w:sz="4" w:space="0" w:color="auto"/>
              <w:bottom w:val="single" w:sz="4" w:space="0" w:color="auto"/>
              <w:right w:val="single" w:sz="4" w:space="0" w:color="000000"/>
            </w:tcBorders>
            <w:shd w:val="clear" w:color="000000" w:fill="DDEBF7"/>
            <w:noWrap/>
            <w:hideMark/>
          </w:tcPr>
          <w:p w14:paraId="56BC2BAE"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supplier processes</w:t>
            </w:r>
          </w:p>
        </w:tc>
        <w:tc>
          <w:tcPr>
            <w:tcW w:w="6713" w:type="dxa"/>
            <w:gridSpan w:val="6"/>
            <w:vMerge/>
            <w:tcBorders>
              <w:top w:val="nil"/>
              <w:left w:val="nil"/>
              <w:bottom w:val="single" w:sz="4" w:space="0" w:color="auto"/>
              <w:right w:val="single" w:sz="4" w:space="0" w:color="auto"/>
            </w:tcBorders>
            <w:hideMark/>
          </w:tcPr>
          <w:p w14:paraId="0BE4A2C2" w14:textId="77777777" w:rsidR="003E1348" w:rsidRPr="003E1348" w:rsidRDefault="003E1348" w:rsidP="003E1348">
            <w:pPr>
              <w:spacing w:line="240" w:lineRule="auto"/>
              <w:rPr>
                <w:rFonts w:ascii="Calibri" w:eastAsia="Times New Roman" w:hAnsi="Calibri" w:cs="Calibri"/>
                <w:color w:val="000000"/>
                <w:sz w:val="24"/>
                <w:szCs w:val="24"/>
                <w:lang w:val="en-US"/>
              </w:rPr>
            </w:pPr>
          </w:p>
        </w:tc>
      </w:tr>
    </w:tbl>
    <w:p w14:paraId="11988727" w14:textId="77777777" w:rsidR="00161958" w:rsidRDefault="00161958" w:rsidP="00161958">
      <w:pPr>
        <w:jc w:val="both"/>
      </w:pPr>
    </w:p>
    <w:p w14:paraId="67F8CFB8" w14:textId="6E4E4D82" w:rsidR="00161958" w:rsidRPr="000F4D5C" w:rsidRDefault="00161958" w:rsidP="00161958">
      <w:pPr>
        <w:jc w:val="both"/>
      </w:pPr>
      <w:r>
        <w:t>In this example, all phases from foundation through release are gated because between the two groups all those phases require at least one phase gate.</w:t>
      </w:r>
    </w:p>
    <w:p w14:paraId="4AF3F74D" w14:textId="77777777" w:rsidR="007E0A44" w:rsidRDefault="007E0A44" w:rsidP="007E0A44">
      <w:pPr>
        <w:pStyle w:val="Heading1"/>
      </w:pPr>
    </w:p>
    <w:p w14:paraId="53BE4AEC" w14:textId="77777777" w:rsidR="007E0A44" w:rsidRDefault="007E0A44">
      <w:pPr>
        <w:rPr>
          <w:sz w:val="40"/>
          <w:szCs w:val="40"/>
        </w:rPr>
      </w:pPr>
      <w:r>
        <w:br w:type="page"/>
      </w:r>
    </w:p>
    <w:p w14:paraId="3C10F4E8" w14:textId="0C632CE7" w:rsidR="000F4D5C" w:rsidRDefault="000F4D5C" w:rsidP="007E0A44">
      <w:pPr>
        <w:pStyle w:val="Heading1"/>
      </w:pPr>
      <w:r>
        <w:lastRenderedPageBreak/>
        <w:t>Supplementary Documents</w:t>
      </w:r>
    </w:p>
    <w:p w14:paraId="2F5AF2D6" w14:textId="7FA078D0" w:rsidR="00161958" w:rsidRDefault="000F4D5C" w:rsidP="00161958">
      <w:pPr>
        <w:spacing w:after="240"/>
        <w:jc w:val="both"/>
      </w:pPr>
      <w:r w:rsidRPr="000F4D5C">
        <w:t>As noted earlier, the AVPDL is a framework. Supplementary documentation is required to meet the requirements of the various regulatory bodies and to provide clear guidance as the asks by each team on those creating the product.</w:t>
      </w:r>
      <w:r>
        <w:t xml:space="preserve"> The AVCDL and its secondary documents represent the expression of this type of material.</w:t>
      </w:r>
      <w:r w:rsidR="00161958" w:rsidRPr="00161958">
        <w:t xml:space="preserve"> </w:t>
      </w:r>
      <w:r w:rsidR="00161958">
        <w:t>It is recommended that each group create a similarly styled document set.</w:t>
      </w:r>
    </w:p>
    <w:p w14:paraId="3886248C" w14:textId="2F110DF1" w:rsidR="000F4D5C" w:rsidRPr="000F4D5C" w:rsidRDefault="00161958" w:rsidP="00161958">
      <w:pPr>
        <w:ind w:left="720" w:hanging="720"/>
        <w:jc w:val="both"/>
      </w:pPr>
      <w:r w:rsidRPr="00161958">
        <w:rPr>
          <w:b/>
          <w:bCs/>
          <w:color w:val="0070C0"/>
        </w:rPr>
        <w:t>Note:</w:t>
      </w:r>
      <w:r w:rsidRPr="00161958">
        <w:rPr>
          <w:b/>
          <w:bCs/>
          <w:color w:val="0070C0"/>
        </w:rPr>
        <w:tab/>
      </w:r>
      <w:r>
        <w:t>T</w:t>
      </w:r>
      <w:r w:rsidR="000F4D5C">
        <w:t>h</w:t>
      </w:r>
      <w:r>
        <w:t>is</w:t>
      </w:r>
      <w:r w:rsidR="000F4D5C">
        <w:t xml:space="preserve"> approach taken in the AVCDL </w:t>
      </w:r>
      <w:r>
        <w:t>was assessed</w:t>
      </w:r>
      <w:r w:rsidR="009018D2">
        <w:t xml:space="preserve"> by TÜV to be </w:t>
      </w:r>
      <w:r>
        <w:t>compliant</w:t>
      </w:r>
      <w:r w:rsidR="009018D2">
        <w:t xml:space="preserve"> </w:t>
      </w:r>
      <w:r w:rsidR="009018D2" w:rsidRPr="00161958">
        <w:rPr>
          <w:b/>
          <w:bCs/>
        </w:rPr>
        <w:t>ISO</w:t>
      </w:r>
      <w:r w:rsidRPr="00161958">
        <w:rPr>
          <w:b/>
          <w:bCs/>
        </w:rPr>
        <w:t>/SAE</w:t>
      </w:r>
      <w:r w:rsidR="009018D2" w:rsidRPr="00161958">
        <w:rPr>
          <w:b/>
          <w:bCs/>
        </w:rPr>
        <w:t xml:space="preserve"> 21434</w:t>
      </w:r>
      <w:r w:rsidR="009018D2">
        <w:t xml:space="preserve">. </w:t>
      </w:r>
    </w:p>
    <w:p w14:paraId="13512E49" w14:textId="77777777" w:rsidR="00C6610C" w:rsidRDefault="00C6610C">
      <w:pPr>
        <w:rPr>
          <w:sz w:val="40"/>
          <w:szCs w:val="40"/>
        </w:rPr>
      </w:pPr>
      <w:bookmarkStart w:id="4" w:name="_6usnhjbgdq8" w:colFirst="0" w:colLast="0"/>
      <w:bookmarkEnd w:id="4"/>
      <w:r>
        <w:br w:type="page"/>
      </w:r>
    </w:p>
    <w:p w14:paraId="645EAACE" w14:textId="013CC4A9" w:rsidR="00E81FE4" w:rsidRDefault="00FE5DEC">
      <w:pPr>
        <w:pStyle w:val="Heading1"/>
      </w:pPr>
      <w:r>
        <w:lastRenderedPageBreak/>
        <w:t>References</w:t>
      </w:r>
    </w:p>
    <w:p w14:paraId="74ED6828" w14:textId="64E5EB46" w:rsidR="00C6610C" w:rsidRPr="006F6005" w:rsidRDefault="00FE5DEC" w:rsidP="00C6610C">
      <w:pPr>
        <w:numPr>
          <w:ilvl w:val="0"/>
          <w:numId w:val="1"/>
        </w:numPr>
        <w:ind w:left="360"/>
      </w:pPr>
      <w:r w:rsidRPr="006F6005">
        <w:rPr>
          <w:b/>
          <w:bCs/>
        </w:rPr>
        <w:t>ISO</w:t>
      </w:r>
      <w:r w:rsidR="002F2845">
        <w:rPr>
          <w:b/>
          <w:bCs/>
        </w:rPr>
        <w:t>/IEC</w:t>
      </w:r>
      <w:r w:rsidRPr="006F6005">
        <w:rPr>
          <w:b/>
          <w:bCs/>
        </w:rPr>
        <w:t xml:space="preserve"> 15288 Systems and software engineering - Systems life cycle processes</w:t>
      </w:r>
      <w:r w:rsidR="00C6610C" w:rsidRPr="006F6005">
        <w:br/>
      </w:r>
      <w:hyperlink r:id="rId8" w:history="1">
        <w:r w:rsidR="00C6610C" w:rsidRPr="006F6005">
          <w:rPr>
            <w:rStyle w:val="Hyperlink"/>
          </w:rPr>
          <w:t>https://en.wikipedia.org/wiki/ISO/IEC_15288</w:t>
        </w:r>
      </w:hyperlink>
      <w:r w:rsidR="00C6610C" w:rsidRPr="006F6005">
        <w:t xml:space="preserve"> </w:t>
      </w:r>
    </w:p>
    <w:p w14:paraId="09BB0EFA" w14:textId="36B32C92" w:rsidR="00C6610C" w:rsidRPr="006F6005" w:rsidRDefault="00FE5DEC" w:rsidP="00C6610C">
      <w:pPr>
        <w:numPr>
          <w:ilvl w:val="0"/>
          <w:numId w:val="1"/>
        </w:numPr>
        <w:ind w:left="360"/>
        <w:rPr>
          <w:b/>
          <w:bCs/>
        </w:rPr>
      </w:pPr>
      <w:r w:rsidRPr="006F6005">
        <w:rPr>
          <w:b/>
          <w:bCs/>
        </w:rPr>
        <w:t>ISO</w:t>
      </w:r>
      <w:r w:rsidR="002F2845">
        <w:rPr>
          <w:b/>
          <w:bCs/>
        </w:rPr>
        <w:t>/IEC</w:t>
      </w:r>
      <w:r w:rsidRPr="006F6005">
        <w:rPr>
          <w:b/>
          <w:bCs/>
        </w:rPr>
        <w:t xml:space="preserve"> 12207 Systems and software engineering - Software life cycle processes</w:t>
      </w:r>
      <w:r w:rsidR="00C6610C" w:rsidRPr="006F6005">
        <w:rPr>
          <w:b/>
          <w:bCs/>
        </w:rPr>
        <w:br/>
      </w:r>
      <w:hyperlink r:id="rId9" w:history="1">
        <w:r w:rsidR="00C6610C" w:rsidRPr="006F6005">
          <w:rPr>
            <w:rStyle w:val="Hyperlink"/>
          </w:rPr>
          <w:t>https://en.wikipedia.org/wiki/ISO/IEC_12207</w:t>
        </w:r>
      </w:hyperlink>
      <w:r w:rsidR="00C6610C" w:rsidRPr="006F6005">
        <w:t xml:space="preserve"> </w:t>
      </w:r>
    </w:p>
    <w:p w14:paraId="68E68430" w14:textId="298F21F8" w:rsidR="00395D8B" w:rsidRPr="006F6005" w:rsidRDefault="00FE5DEC" w:rsidP="00395D8B">
      <w:pPr>
        <w:numPr>
          <w:ilvl w:val="0"/>
          <w:numId w:val="1"/>
        </w:numPr>
        <w:ind w:left="360"/>
        <w:rPr>
          <w:b/>
          <w:bCs/>
        </w:rPr>
      </w:pPr>
      <w:r w:rsidRPr="006F6005">
        <w:rPr>
          <w:b/>
          <w:bCs/>
        </w:rPr>
        <w:t>ISO 26262 Road vehicles - Functional safety</w:t>
      </w:r>
      <w:r w:rsidR="00C6610C" w:rsidRPr="006F6005">
        <w:rPr>
          <w:b/>
          <w:bCs/>
        </w:rPr>
        <w:br/>
      </w:r>
      <w:hyperlink r:id="rId10" w:history="1">
        <w:r w:rsidR="00395D8B" w:rsidRPr="006F6005">
          <w:rPr>
            <w:rStyle w:val="Hyperlink"/>
          </w:rPr>
          <w:t>https://en.wikipedia.org/wiki/ISO_26262</w:t>
        </w:r>
      </w:hyperlink>
      <w:r w:rsidR="00395D8B" w:rsidRPr="006F6005">
        <w:rPr>
          <w:b/>
          <w:bCs/>
        </w:rPr>
        <w:t xml:space="preserve"> </w:t>
      </w:r>
    </w:p>
    <w:p w14:paraId="25CDA7C0" w14:textId="06B93A7B" w:rsidR="00C6610C" w:rsidRPr="006F6005" w:rsidRDefault="00FE5DEC" w:rsidP="00C6610C">
      <w:pPr>
        <w:numPr>
          <w:ilvl w:val="0"/>
          <w:numId w:val="1"/>
        </w:numPr>
        <w:ind w:left="360"/>
        <w:rPr>
          <w:b/>
          <w:bCs/>
        </w:rPr>
      </w:pPr>
      <w:r w:rsidRPr="006F6005">
        <w:rPr>
          <w:b/>
          <w:bCs/>
        </w:rPr>
        <w:t>ISO</w:t>
      </w:r>
      <w:r w:rsidR="002F2845">
        <w:rPr>
          <w:b/>
          <w:bCs/>
        </w:rPr>
        <w:t>/SAE</w:t>
      </w:r>
      <w:r w:rsidRPr="006F6005">
        <w:rPr>
          <w:b/>
          <w:bCs/>
        </w:rPr>
        <w:t xml:space="preserve"> 21434 Road Vehicles - Cybersecurity Engineering</w:t>
      </w:r>
      <w:r w:rsidR="00C6610C" w:rsidRPr="006F6005">
        <w:rPr>
          <w:b/>
          <w:bCs/>
        </w:rPr>
        <w:br/>
      </w:r>
      <w:hyperlink r:id="rId11" w:history="1">
        <w:r w:rsidR="00C6610C" w:rsidRPr="006F6005">
          <w:rPr>
            <w:rStyle w:val="Hyperlink"/>
          </w:rPr>
          <w:t>https://www.sae.org/standards/content/iso/sae21434/</w:t>
        </w:r>
      </w:hyperlink>
      <w:r w:rsidR="00C6610C" w:rsidRPr="006F6005">
        <w:t xml:space="preserve"> </w:t>
      </w:r>
    </w:p>
    <w:p w14:paraId="2F0C803E" w14:textId="15381DD7" w:rsidR="00395D8B" w:rsidRPr="006F6005" w:rsidRDefault="00395D8B" w:rsidP="00C6610C">
      <w:pPr>
        <w:numPr>
          <w:ilvl w:val="0"/>
          <w:numId w:val="1"/>
        </w:numPr>
        <w:ind w:left="360"/>
      </w:pPr>
      <w:r w:rsidRPr="006F6005">
        <w:rPr>
          <w:b/>
          <w:bCs/>
        </w:rPr>
        <w:t>ISO 9000 Quality management systems</w:t>
      </w:r>
      <w:r w:rsidRPr="006F6005">
        <w:rPr>
          <w:b/>
          <w:bCs/>
        </w:rPr>
        <w:br/>
      </w:r>
      <w:hyperlink r:id="rId12" w:history="1">
        <w:r w:rsidRPr="006F6005">
          <w:rPr>
            <w:rStyle w:val="Hyperlink"/>
          </w:rPr>
          <w:t>https://en.wikipedia.org/wiki/ISO_9000</w:t>
        </w:r>
      </w:hyperlink>
      <w:r w:rsidRPr="006F6005">
        <w:t xml:space="preserve"> </w:t>
      </w:r>
    </w:p>
    <w:p w14:paraId="241749D4" w14:textId="5B7FA810" w:rsidR="00E81FE4" w:rsidRPr="00C6610C" w:rsidRDefault="00D503B3" w:rsidP="00C6610C">
      <w:pPr>
        <w:numPr>
          <w:ilvl w:val="0"/>
          <w:numId w:val="1"/>
        </w:numPr>
        <w:ind w:left="360"/>
        <w:rPr>
          <w:rFonts w:asciiTheme="minorHAnsi" w:hAnsiTheme="minorHAnsi"/>
          <w:b/>
          <w:bCs/>
        </w:rPr>
      </w:pPr>
      <w:r>
        <w:rPr>
          <w:b/>
          <w:bCs/>
        </w:rPr>
        <w:t>AVCDL</w:t>
      </w:r>
      <w:r w:rsidR="00C6610C" w:rsidRPr="006F6005">
        <w:rPr>
          <w:b/>
          <w:bCs/>
        </w:rPr>
        <w:t xml:space="preserve"> </w:t>
      </w:r>
      <w:r w:rsidR="00C6610C" w:rsidRPr="006F6005">
        <w:t>(primary document)</w:t>
      </w:r>
      <w:r w:rsidR="00C6610C" w:rsidRPr="00C6610C">
        <w:rPr>
          <w:rFonts w:asciiTheme="minorHAnsi" w:hAnsiTheme="minorHAnsi"/>
          <w:b/>
          <w:bCs/>
        </w:rPr>
        <w:br/>
      </w:r>
    </w:p>
    <w:p w14:paraId="1438C5F2" w14:textId="2C69646A" w:rsidR="00E81FE4" w:rsidRPr="000F4D5C" w:rsidRDefault="00E81FE4" w:rsidP="00C6610C">
      <w:pPr>
        <w:rPr>
          <w:rFonts w:asciiTheme="minorHAnsi" w:hAnsiTheme="minorHAnsi"/>
          <w:b/>
        </w:rPr>
      </w:pPr>
    </w:p>
    <w:sectPr w:rsidR="00E81FE4" w:rsidRPr="000F4D5C" w:rsidSect="006C4D50">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A3380" w14:textId="77777777" w:rsidR="006C4D50" w:rsidRDefault="006C4D50" w:rsidP="00C6610C">
      <w:pPr>
        <w:spacing w:line="240" w:lineRule="auto"/>
      </w:pPr>
      <w:r>
        <w:separator/>
      </w:r>
    </w:p>
  </w:endnote>
  <w:endnote w:type="continuationSeparator" w:id="0">
    <w:p w14:paraId="3BE99C81" w14:textId="77777777" w:rsidR="006C4D50" w:rsidRDefault="006C4D50" w:rsidP="00C66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812458"/>
      <w:docPartObj>
        <w:docPartGallery w:val="Page Numbers (Bottom of Page)"/>
        <w:docPartUnique/>
      </w:docPartObj>
    </w:sdtPr>
    <w:sdtContent>
      <w:p w14:paraId="1198EE3B" w14:textId="70C60B1D" w:rsidR="00C6610C" w:rsidRDefault="00C6610C" w:rsidP="002005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A993C" w14:textId="77777777" w:rsidR="00C6610C" w:rsidRDefault="00C6610C" w:rsidP="00C661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5211369"/>
      <w:docPartObj>
        <w:docPartGallery w:val="Page Numbers (Bottom of Page)"/>
        <w:docPartUnique/>
      </w:docPartObj>
    </w:sdtPr>
    <w:sdtContent>
      <w:p w14:paraId="60606FD0" w14:textId="04711089" w:rsidR="00C6610C" w:rsidRDefault="00C6610C" w:rsidP="002005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C0F45F" w14:textId="77777777" w:rsidR="00C6610C" w:rsidRDefault="00C6610C" w:rsidP="00C661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F172C" w14:textId="77777777" w:rsidR="006C4D50" w:rsidRDefault="006C4D50" w:rsidP="00C6610C">
      <w:pPr>
        <w:spacing w:line="240" w:lineRule="auto"/>
      </w:pPr>
      <w:r>
        <w:separator/>
      </w:r>
    </w:p>
  </w:footnote>
  <w:footnote w:type="continuationSeparator" w:id="0">
    <w:p w14:paraId="43471F68" w14:textId="77777777" w:rsidR="006C4D50" w:rsidRDefault="006C4D50" w:rsidP="00C661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0C3"/>
    <w:multiLevelType w:val="hybridMultilevel"/>
    <w:tmpl w:val="10A0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2215A"/>
    <w:multiLevelType w:val="multilevel"/>
    <w:tmpl w:val="52D4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37536F"/>
    <w:multiLevelType w:val="multilevel"/>
    <w:tmpl w:val="10D86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6452124">
    <w:abstractNumId w:val="2"/>
  </w:num>
  <w:num w:numId="2" w16cid:durableId="898058987">
    <w:abstractNumId w:val="1"/>
  </w:num>
  <w:num w:numId="3" w16cid:durableId="115561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E4"/>
    <w:rsid w:val="000E3188"/>
    <w:rsid w:val="000F4D5C"/>
    <w:rsid w:val="00161958"/>
    <w:rsid w:val="00270125"/>
    <w:rsid w:val="002A7D45"/>
    <w:rsid w:val="002E736C"/>
    <w:rsid w:val="002F2845"/>
    <w:rsid w:val="00395D8B"/>
    <w:rsid w:val="003E1348"/>
    <w:rsid w:val="00467237"/>
    <w:rsid w:val="00590A8D"/>
    <w:rsid w:val="006350AE"/>
    <w:rsid w:val="00680669"/>
    <w:rsid w:val="006C4D50"/>
    <w:rsid w:val="006F6005"/>
    <w:rsid w:val="007D163B"/>
    <w:rsid w:val="007D537E"/>
    <w:rsid w:val="007E0A44"/>
    <w:rsid w:val="00866630"/>
    <w:rsid w:val="008A2847"/>
    <w:rsid w:val="009018D2"/>
    <w:rsid w:val="00A430F8"/>
    <w:rsid w:val="00A51810"/>
    <w:rsid w:val="00BA6092"/>
    <w:rsid w:val="00BE717A"/>
    <w:rsid w:val="00C6610C"/>
    <w:rsid w:val="00C81700"/>
    <w:rsid w:val="00C906DF"/>
    <w:rsid w:val="00D503B3"/>
    <w:rsid w:val="00DB5D7A"/>
    <w:rsid w:val="00E414F6"/>
    <w:rsid w:val="00E81FE4"/>
    <w:rsid w:val="00F27AEF"/>
    <w:rsid w:val="00FC7EA8"/>
    <w:rsid w:val="00FE5DEC"/>
    <w:rsid w:val="00FF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A460"/>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FE5DEC"/>
    <w:rPr>
      <w:sz w:val="40"/>
      <w:szCs w:val="40"/>
    </w:rPr>
  </w:style>
  <w:style w:type="paragraph" w:styleId="BalloonText">
    <w:name w:val="Balloon Text"/>
    <w:basedOn w:val="Normal"/>
    <w:link w:val="BalloonTextChar"/>
    <w:uiPriority w:val="99"/>
    <w:semiHidden/>
    <w:unhideWhenUsed/>
    <w:rsid w:val="00590A8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0A8D"/>
    <w:rPr>
      <w:rFonts w:ascii="Times New Roman" w:hAnsi="Times New Roman" w:cs="Times New Roman"/>
      <w:sz w:val="18"/>
      <w:szCs w:val="18"/>
    </w:rPr>
  </w:style>
  <w:style w:type="character" w:styleId="Hyperlink">
    <w:name w:val="Hyperlink"/>
    <w:basedOn w:val="DefaultParagraphFont"/>
    <w:uiPriority w:val="99"/>
    <w:unhideWhenUsed/>
    <w:rsid w:val="00C6610C"/>
    <w:rPr>
      <w:color w:val="0000FF" w:themeColor="hyperlink"/>
      <w:u w:val="single"/>
    </w:rPr>
  </w:style>
  <w:style w:type="paragraph" w:styleId="Header">
    <w:name w:val="header"/>
    <w:basedOn w:val="Normal"/>
    <w:link w:val="HeaderChar"/>
    <w:uiPriority w:val="99"/>
    <w:unhideWhenUsed/>
    <w:rsid w:val="00C6610C"/>
    <w:pPr>
      <w:tabs>
        <w:tab w:val="center" w:pos="4680"/>
        <w:tab w:val="right" w:pos="9360"/>
      </w:tabs>
      <w:spacing w:line="240" w:lineRule="auto"/>
    </w:pPr>
  </w:style>
  <w:style w:type="character" w:customStyle="1" w:styleId="HeaderChar">
    <w:name w:val="Header Char"/>
    <w:basedOn w:val="DefaultParagraphFont"/>
    <w:link w:val="Header"/>
    <w:uiPriority w:val="99"/>
    <w:rsid w:val="00C6610C"/>
  </w:style>
  <w:style w:type="paragraph" w:styleId="Footer">
    <w:name w:val="footer"/>
    <w:basedOn w:val="Normal"/>
    <w:link w:val="FooterChar"/>
    <w:uiPriority w:val="99"/>
    <w:unhideWhenUsed/>
    <w:rsid w:val="00C6610C"/>
    <w:pPr>
      <w:tabs>
        <w:tab w:val="center" w:pos="4680"/>
        <w:tab w:val="right" w:pos="9360"/>
      </w:tabs>
      <w:spacing w:line="240" w:lineRule="auto"/>
    </w:pPr>
  </w:style>
  <w:style w:type="character" w:customStyle="1" w:styleId="FooterChar">
    <w:name w:val="Footer Char"/>
    <w:basedOn w:val="DefaultParagraphFont"/>
    <w:link w:val="Footer"/>
    <w:uiPriority w:val="99"/>
    <w:rsid w:val="00C6610C"/>
  </w:style>
  <w:style w:type="character" w:styleId="PageNumber">
    <w:name w:val="page number"/>
    <w:basedOn w:val="DefaultParagraphFont"/>
    <w:uiPriority w:val="99"/>
    <w:semiHidden/>
    <w:unhideWhenUsed/>
    <w:rsid w:val="00C6610C"/>
  </w:style>
  <w:style w:type="paragraph" w:styleId="ListParagraph">
    <w:name w:val="List Paragraph"/>
    <w:basedOn w:val="Normal"/>
    <w:uiPriority w:val="34"/>
    <w:qFormat/>
    <w:rsid w:val="00C6610C"/>
    <w:pPr>
      <w:ind w:left="720"/>
      <w:contextualSpacing/>
    </w:pPr>
  </w:style>
  <w:style w:type="character" w:styleId="UnresolvedMention">
    <w:name w:val="Unresolved Mention"/>
    <w:basedOn w:val="DefaultParagraphFont"/>
    <w:uiPriority w:val="99"/>
    <w:semiHidden/>
    <w:unhideWhenUsed/>
    <w:rsid w:val="00C6610C"/>
    <w:rPr>
      <w:color w:val="605E5C"/>
      <w:shd w:val="clear" w:color="auto" w:fill="E1DFDD"/>
    </w:rPr>
  </w:style>
  <w:style w:type="character" w:styleId="FollowedHyperlink">
    <w:name w:val="FollowedHyperlink"/>
    <w:basedOn w:val="DefaultParagraphFont"/>
    <w:uiPriority w:val="99"/>
    <w:semiHidden/>
    <w:unhideWhenUsed/>
    <w:rsid w:val="00C661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0506">
      <w:bodyDiv w:val="1"/>
      <w:marLeft w:val="0"/>
      <w:marRight w:val="0"/>
      <w:marTop w:val="0"/>
      <w:marBottom w:val="0"/>
      <w:divBdr>
        <w:top w:val="none" w:sz="0" w:space="0" w:color="auto"/>
        <w:left w:val="none" w:sz="0" w:space="0" w:color="auto"/>
        <w:bottom w:val="none" w:sz="0" w:space="0" w:color="auto"/>
        <w:right w:val="none" w:sz="0" w:space="0" w:color="auto"/>
      </w:divBdr>
    </w:div>
    <w:div w:id="786460966">
      <w:bodyDiv w:val="1"/>
      <w:marLeft w:val="0"/>
      <w:marRight w:val="0"/>
      <w:marTop w:val="0"/>
      <w:marBottom w:val="0"/>
      <w:divBdr>
        <w:top w:val="none" w:sz="0" w:space="0" w:color="auto"/>
        <w:left w:val="none" w:sz="0" w:space="0" w:color="auto"/>
        <w:bottom w:val="none" w:sz="0" w:space="0" w:color="auto"/>
        <w:right w:val="none" w:sz="0" w:space="0" w:color="auto"/>
      </w:divBdr>
    </w:div>
    <w:div w:id="1272012193">
      <w:bodyDiv w:val="1"/>
      <w:marLeft w:val="0"/>
      <w:marRight w:val="0"/>
      <w:marTop w:val="0"/>
      <w:marBottom w:val="0"/>
      <w:divBdr>
        <w:top w:val="none" w:sz="0" w:space="0" w:color="auto"/>
        <w:left w:val="none" w:sz="0" w:space="0" w:color="auto"/>
        <w:bottom w:val="none" w:sz="0" w:space="0" w:color="auto"/>
        <w:right w:val="none" w:sz="0" w:space="0" w:color="auto"/>
      </w:divBdr>
    </w:div>
    <w:div w:id="1515000904">
      <w:bodyDiv w:val="1"/>
      <w:marLeft w:val="0"/>
      <w:marRight w:val="0"/>
      <w:marTop w:val="0"/>
      <w:marBottom w:val="0"/>
      <w:divBdr>
        <w:top w:val="none" w:sz="0" w:space="0" w:color="auto"/>
        <w:left w:val="none" w:sz="0" w:space="0" w:color="auto"/>
        <w:bottom w:val="none" w:sz="0" w:space="0" w:color="auto"/>
        <w:right w:val="none" w:sz="0" w:space="0" w:color="auto"/>
      </w:divBdr>
    </w:div>
    <w:div w:id="1546139735">
      <w:bodyDiv w:val="1"/>
      <w:marLeft w:val="0"/>
      <w:marRight w:val="0"/>
      <w:marTop w:val="0"/>
      <w:marBottom w:val="0"/>
      <w:divBdr>
        <w:top w:val="none" w:sz="0" w:space="0" w:color="auto"/>
        <w:left w:val="none" w:sz="0" w:space="0" w:color="auto"/>
        <w:bottom w:val="none" w:sz="0" w:space="0" w:color="auto"/>
        <w:right w:val="none" w:sz="0" w:space="0" w:color="auto"/>
      </w:divBdr>
    </w:div>
    <w:div w:id="1953391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IEC_1528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en.wikipedia.org/wiki/ISO_9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e.org/standards/content/iso/sae2143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ISO_26262" TargetMode="External"/><Relationship Id="rId4" Type="http://schemas.openxmlformats.org/officeDocument/2006/relationships/webSettings" Target="webSettings.xml"/><Relationship Id="rId9" Type="http://schemas.openxmlformats.org/officeDocument/2006/relationships/hyperlink" Target="https://en.wikipedia.org/wiki/ISO/IEC_1220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919</Words>
  <Characters>5520</Characters>
  <Application>Microsoft Office Word</Application>
  <DocSecurity>0</DocSecurity>
  <Lines>212</Lines>
  <Paragraphs>160</Paragraphs>
  <ScaleCrop>false</ScaleCrop>
  <HeadingPairs>
    <vt:vector size="2" baseType="variant">
      <vt:variant>
        <vt:lpstr>Title</vt:lpstr>
      </vt:variant>
      <vt:variant>
        <vt:i4>1</vt:i4>
      </vt:variant>
    </vt:vector>
  </HeadingPairs>
  <TitlesOfParts>
    <vt:vector size="1" baseType="lpstr">
      <vt:lpstr>Understanding the AVPDL</vt:lpstr>
    </vt:vector>
  </TitlesOfParts>
  <Manager/>
  <Company>Motional</Company>
  <LinksUpToDate>false</LinksUpToDate>
  <CharactersWithSpaces>6279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AVPDL</dc:title>
  <dc:subject>AV product development lifecycle</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9</cp:revision>
  <dcterms:created xsi:type="dcterms:W3CDTF">2022-12-13T14:44:00Z</dcterms:created>
  <dcterms:modified xsi:type="dcterms:W3CDTF">2024-04-22T14:34:00Z</dcterms:modified>
  <cp:category/>
</cp:coreProperties>
</file>