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2849" w:rsidRDefault="005C688F">
      <w:pPr>
        <w:pStyle w:val="Title"/>
        <w:jc w:val="center"/>
      </w:pPr>
      <w:bookmarkStart w:id="0" w:name="_v0twu2etnwkb" w:colFirst="0" w:colLast="0"/>
      <w:bookmarkEnd w:id="0"/>
      <w:r>
        <w:t>Ranked / Risked Threat Report</w:t>
      </w:r>
    </w:p>
    <w:p w14:paraId="7144E115" w14:textId="7C9A05B9" w:rsidR="005C688F" w:rsidRDefault="005C688F" w:rsidP="005C688F">
      <w:pPr>
        <w:pStyle w:val="Heading1"/>
      </w:pPr>
      <w:r>
        <w:t>Revision</w:t>
      </w:r>
    </w:p>
    <w:p w14:paraId="3BDA8AA2" w14:textId="694E4628" w:rsidR="002A7893" w:rsidRPr="002A7893" w:rsidRDefault="002A7893" w:rsidP="002A7893">
      <w:r>
        <w:t xml:space="preserve">Version </w:t>
      </w:r>
      <w:r w:rsidR="00D86FA4">
        <w:t>6</w:t>
      </w:r>
    </w:p>
    <w:p w14:paraId="7A7BD4F7" w14:textId="1B086AE2" w:rsidR="005C688F" w:rsidRDefault="005C688F" w:rsidP="005C688F">
      <w:r>
        <w:fldChar w:fldCharType="begin"/>
      </w:r>
      <w:r>
        <w:instrText xml:space="preserve"> DATE \@ "M/d/yy h:mm am/pm" </w:instrText>
      </w:r>
      <w:r>
        <w:fldChar w:fldCharType="separate"/>
      </w:r>
      <w:r w:rsidR="00981677">
        <w:rPr>
          <w:noProof/>
        </w:rPr>
        <w:t>5/31/22 7:19 AM</w:t>
      </w:r>
      <w:r>
        <w:fldChar w:fldCharType="end"/>
      </w:r>
    </w:p>
    <w:p w14:paraId="3DE34202" w14:textId="77777777" w:rsidR="000C4C75" w:rsidRDefault="000C4C75" w:rsidP="000C4C75">
      <w:pPr>
        <w:pStyle w:val="Heading1"/>
      </w:pPr>
      <w:r>
        <w:t>SME</w:t>
      </w:r>
    </w:p>
    <w:p w14:paraId="171B8A1B" w14:textId="77777777" w:rsidR="002A7893" w:rsidRDefault="002A7893" w:rsidP="002A7893">
      <w:pPr>
        <w:tabs>
          <w:tab w:val="right" w:pos="990"/>
          <w:tab w:val="left" w:pos="1170"/>
        </w:tabs>
        <w:jc w:val="both"/>
      </w:pPr>
      <w:r>
        <w:tab/>
        <w:t>Process:</w:t>
      </w:r>
      <w:r>
        <w:tab/>
      </w:r>
      <w:r w:rsidR="000C4C75">
        <w:t>Charles Wilson</w:t>
      </w:r>
    </w:p>
    <w:p w14:paraId="017C57EB" w14:textId="168DFE0F" w:rsidR="000C4C75" w:rsidRDefault="002A7893" w:rsidP="002A7893">
      <w:pPr>
        <w:tabs>
          <w:tab w:val="right" w:pos="990"/>
          <w:tab w:val="left" w:pos="1170"/>
        </w:tabs>
        <w:jc w:val="both"/>
      </w:pPr>
      <w:r>
        <w:tab/>
        <w:t>Report:</w:t>
      </w:r>
      <w:r>
        <w:tab/>
      </w:r>
      <w:r w:rsidR="000C4C75">
        <w:t>Matthew Bourdua</w:t>
      </w:r>
    </w:p>
    <w:p w14:paraId="00000002" w14:textId="77777777" w:rsidR="00A42849" w:rsidRDefault="005C688F">
      <w:pPr>
        <w:pStyle w:val="Heading1"/>
      </w:pPr>
      <w:r>
        <w:t>Abstract</w:t>
      </w:r>
    </w:p>
    <w:p w14:paraId="00000003" w14:textId="2EB8B1FB" w:rsidR="00A42849" w:rsidRPr="00B74FE5" w:rsidRDefault="00B74FE5">
      <w:pPr>
        <w:jc w:val="both"/>
      </w:pPr>
      <w:r>
        <w:t xml:space="preserve">This document describes the </w:t>
      </w:r>
      <w:r w:rsidR="008862C0">
        <w:t>process</w:t>
      </w:r>
      <w:r>
        <w:t xml:space="preserve"> to </w:t>
      </w:r>
      <w:r>
        <w:rPr>
          <w:color w:val="000000" w:themeColor="text1"/>
        </w:rPr>
        <w:t xml:space="preserve">perform and report on the rank / risk </w:t>
      </w:r>
      <w:r w:rsidR="009F2561">
        <w:rPr>
          <w:color w:val="000000" w:themeColor="text1"/>
        </w:rPr>
        <w:t>activity</w:t>
      </w:r>
      <w:r>
        <w:rPr>
          <w:color w:val="000000" w:themeColor="text1"/>
        </w:rPr>
        <w:t xml:space="preserve"> performed on the output of the threat modeling of an element of the system</w:t>
      </w:r>
      <w:r w:rsidR="005C688F" w:rsidRPr="00B74FE5">
        <w:t>.</w:t>
      </w:r>
    </w:p>
    <w:p w14:paraId="00000004" w14:textId="77777777" w:rsidR="00A42849" w:rsidRDefault="005C688F">
      <w:pPr>
        <w:pStyle w:val="Heading1"/>
        <w:jc w:val="both"/>
      </w:pPr>
      <w:bookmarkStart w:id="1" w:name="_54bgemmh6zb8" w:colFirst="0" w:colLast="0"/>
      <w:bookmarkEnd w:id="1"/>
      <w:r>
        <w:t>Group / Owner</w:t>
      </w:r>
    </w:p>
    <w:p w14:paraId="776F7EE4" w14:textId="77777777" w:rsidR="00AC561A" w:rsidRPr="00E70E32" w:rsidRDefault="00AC561A" w:rsidP="00AC561A">
      <w:pPr>
        <w:jc w:val="both"/>
      </w:pPr>
      <w:bookmarkStart w:id="2" w:name="_olcs7d4b90ea" w:colFirst="0" w:colLast="0"/>
      <w:bookmarkEnd w:id="2"/>
      <w:r>
        <w:t>Security</w:t>
      </w:r>
      <w:r w:rsidRPr="00E70E32">
        <w:t xml:space="preserve"> / </w:t>
      </w:r>
      <w:r>
        <w:t>Security Architect</w:t>
      </w:r>
    </w:p>
    <w:p w14:paraId="00000006" w14:textId="77777777" w:rsidR="00A42849" w:rsidRDefault="005C688F">
      <w:pPr>
        <w:pStyle w:val="Heading1"/>
        <w:jc w:val="both"/>
      </w:pPr>
      <w:r>
        <w:t>Motivation</w:t>
      </w:r>
    </w:p>
    <w:p w14:paraId="00000007" w14:textId="79525507" w:rsidR="00A42849" w:rsidRPr="00B74FE5" w:rsidRDefault="00B74FE5">
      <w:pPr>
        <w:jc w:val="both"/>
      </w:pPr>
      <w:r>
        <w:t xml:space="preserve">This document is motivated by the need to determine the </w:t>
      </w:r>
      <w:r w:rsidR="00E701E2">
        <w:t>relative severity</w:t>
      </w:r>
      <w:r w:rsidR="006B1452">
        <w:t xml:space="preserve"> (rank)</w:t>
      </w:r>
      <w:r w:rsidR="005972E0">
        <w:t xml:space="preserve"> and impact (risk)</w:t>
      </w:r>
      <w:r w:rsidR="00E701E2">
        <w:t xml:space="preserve"> </w:t>
      </w:r>
      <w:r w:rsidR="006B1452">
        <w:t>of</w:t>
      </w:r>
      <w:r w:rsidR="00E701E2">
        <w:t xml:space="preserve"> the system element’s threat candidates</w:t>
      </w:r>
      <w:r>
        <w:t xml:space="preserve">. This is necessary </w:t>
      </w:r>
      <w:r w:rsidR="00E701E2">
        <w:t xml:space="preserve">in order to properly assess the disposition of these candidates and required </w:t>
      </w:r>
      <w:r>
        <w:t xml:space="preserve">given the nature of safety-critical, cyber-physical systems, subject to certifications such as </w:t>
      </w:r>
      <w:r w:rsidRPr="006B1452">
        <w:rPr>
          <w:b/>
          <w:bCs/>
        </w:rPr>
        <w:t>ISO 21434</w:t>
      </w:r>
      <w:r>
        <w:t xml:space="preserve"> and </w:t>
      </w:r>
      <w:r w:rsidR="006B1452" w:rsidRPr="006B1452">
        <w:rPr>
          <w:b/>
          <w:bCs/>
        </w:rPr>
        <w:t xml:space="preserve">ISO </w:t>
      </w:r>
      <w:r w:rsidRPr="006B1452">
        <w:rPr>
          <w:b/>
          <w:bCs/>
        </w:rPr>
        <w:t>26262</w:t>
      </w:r>
      <w:r w:rsidR="005C688F" w:rsidRPr="00B74FE5">
        <w:t>.</w:t>
      </w:r>
    </w:p>
    <w:p w14:paraId="090A7F24" w14:textId="77777777" w:rsidR="002A7893" w:rsidRDefault="002A7893" w:rsidP="002A7893">
      <w:pPr>
        <w:pStyle w:val="Heading1"/>
        <w:jc w:val="both"/>
      </w:pPr>
      <w:bookmarkStart w:id="3" w:name="_f5diy2ktdyyf" w:colFirst="0" w:colLast="0"/>
      <w:bookmarkEnd w:id="3"/>
      <w:r>
        <w:t>License</w:t>
      </w:r>
    </w:p>
    <w:p w14:paraId="72BC37BB" w14:textId="3890B57D" w:rsidR="002A7893" w:rsidRDefault="002A7893" w:rsidP="002A789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865B6">
        <w:rPr>
          <w:b/>
          <w:bCs/>
          <w:lang w:val="en-US"/>
        </w:rPr>
        <w:t xml:space="preserve"> BY</w:t>
      </w:r>
      <w:r w:rsidRPr="00144DE6">
        <w:rPr>
          <w:b/>
          <w:bCs/>
          <w:lang w:val="en-US"/>
        </w:rPr>
        <w:t>-SA</w:t>
      </w:r>
      <w:r w:rsidR="006865B6">
        <w:rPr>
          <w:b/>
          <w:bCs/>
          <w:lang w:val="en-US"/>
        </w:rPr>
        <w:t>-4.0</w:t>
      </w:r>
      <w:r w:rsidRPr="00144DE6">
        <w:rPr>
          <w:b/>
          <w:bCs/>
          <w:lang w:val="en-US"/>
        </w:rPr>
        <w:t>)</w:t>
      </w:r>
      <w:r w:rsidRPr="00144DE6">
        <w:rPr>
          <w:lang w:val="en-US"/>
        </w:rPr>
        <w:t xml:space="preserve"> License</w:t>
      </w:r>
      <w:r w:rsidRPr="00533832">
        <w:t>.</w:t>
      </w:r>
    </w:p>
    <w:p w14:paraId="39B2EEDB" w14:textId="77777777" w:rsidR="002A7893" w:rsidRDefault="00241D0D" w:rsidP="002A7893">
      <w:pPr>
        <w:pStyle w:val="FirstParagraph"/>
        <w:jc w:val="both"/>
      </w:pPr>
      <w:hyperlink r:id="rId7" w:history="1">
        <w:r w:rsidR="002A7893" w:rsidRPr="00FE6B19">
          <w:rPr>
            <w:rStyle w:val="Hyperlink"/>
            <w:rFonts w:ascii="Courier New" w:hAnsi="Courier New" w:cs="Courier New"/>
            <w:b/>
            <w:bCs/>
          </w:rPr>
          <w:t>https://creativecommons.org/licenses/by/4.0/legalcode</w:t>
        </w:r>
      </w:hyperlink>
    </w:p>
    <w:p w14:paraId="08102BCC" w14:textId="77777777" w:rsidR="00C05327" w:rsidRDefault="00C05327">
      <w:pPr>
        <w:rPr>
          <w:sz w:val="40"/>
          <w:szCs w:val="40"/>
        </w:rPr>
      </w:pPr>
      <w:r>
        <w:br w:type="page"/>
      </w:r>
    </w:p>
    <w:p w14:paraId="00000008" w14:textId="79E6030E" w:rsidR="00A42849" w:rsidRDefault="005C688F">
      <w:pPr>
        <w:pStyle w:val="Heading1"/>
      </w:pPr>
      <w:r>
        <w:lastRenderedPageBreak/>
        <w:t>Overview</w:t>
      </w:r>
    </w:p>
    <w:p w14:paraId="00000009" w14:textId="273C6852" w:rsidR="00A42849" w:rsidRPr="00B74FE5" w:rsidRDefault="004A3A1C" w:rsidP="005972E0">
      <w:pPr>
        <w:spacing w:after="240"/>
        <w:jc w:val="both"/>
      </w:pPr>
      <w:r>
        <w:t>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w:t>
      </w:r>
    </w:p>
    <w:p w14:paraId="5FAF1622" w14:textId="77777777" w:rsidR="005972E0" w:rsidRDefault="005972E0" w:rsidP="005972E0">
      <w:pPr>
        <w:spacing w:after="240"/>
      </w:pPr>
      <w:bookmarkStart w:id="4" w:name="_ka2wojif16d2" w:colFirst="0" w:colLast="0"/>
      <w:bookmarkEnd w:id="4"/>
      <w:r>
        <w:t>The following diagram illustrates the process to be used:</w:t>
      </w:r>
    </w:p>
    <w:p w14:paraId="1F19FF85" w14:textId="77777777" w:rsidR="00CE65B8" w:rsidRDefault="005972E0" w:rsidP="00CE65B8">
      <w:pPr>
        <w:pStyle w:val="Heading1"/>
      </w:pPr>
      <w:r>
        <w:rPr>
          <w:noProof/>
        </w:rPr>
        <w:drawing>
          <wp:inline distT="0" distB="0" distL="0" distR="0" wp14:anchorId="6BCF4EE1" wp14:editId="4BFA0F97">
            <wp:extent cx="5943600" cy="3738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0000000A" w14:textId="4D3FAE99" w:rsidR="00A42849" w:rsidRPr="00CE65B8" w:rsidRDefault="006B1452" w:rsidP="00CE65B8">
      <w:pPr>
        <w:pStyle w:val="Heading1"/>
      </w:pPr>
      <w:r>
        <w:t>Process</w:t>
      </w:r>
    </w:p>
    <w:p w14:paraId="6433680A" w14:textId="705FFCCF" w:rsidR="005972E0" w:rsidRDefault="00CE65B8" w:rsidP="00CE65B8">
      <w:pPr>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w:t>
      </w:r>
      <w:r w:rsidR="005972E0">
        <w:t>The</w:t>
      </w:r>
      <w:r w:rsidR="00B8754B">
        <w:t xml:space="preserve"> triaged threat candidates are ranked by the security SME and then r</w:t>
      </w:r>
      <w:r w:rsidR="000408DD">
        <w:t>is</w:t>
      </w:r>
      <w:r w:rsidR="00B8754B">
        <w:t>ked by the risk SME. The</w:t>
      </w:r>
      <w:r w:rsidR="005972E0">
        <w:t xml:space="preserve"> outputs are a </w:t>
      </w:r>
      <w:r w:rsidR="005972E0">
        <w:rPr>
          <w:b/>
          <w:bCs/>
        </w:rPr>
        <w:t>Ranked / Risked T</w:t>
      </w:r>
      <w:r w:rsidR="005972E0" w:rsidRPr="00871D39">
        <w:rPr>
          <w:b/>
          <w:bCs/>
        </w:rPr>
        <w:t>hreat Report</w:t>
      </w:r>
      <w:r w:rsidR="00B8754B">
        <w:rPr>
          <w:b/>
          <w:bCs/>
        </w:rPr>
        <w:t xml:space="preserve"> </w:t>
      </w:r>
      <w:r w:rsidR="005972E0">
        <w:t>and a file containing a set of ranked / risked threat candidates.</w:t>
      </w:r>
      <w:r w:rsidR="00B8754B">
        <w:t xml:space="preserve"> The latter is the input to the process creating the </w:t>
      </w:r>
      <w:r w:rsidR="00B8754B" w:rsidRPr="00B8754B">
        <w:rPr>
          <w:b/>
          <w:bCs/>
        </w:rPr>
        <w:t>Threat Report</w:t>
      </w:r>
      <w:r w:rsidR="00B8754B">
        <w:t xml:space="preserve"> </w:t>
      </w:r>
      <w:r w:rsidR="00B8754B" w:rsidRPr="00B8754B">
        <w:rPr>
          <w:b/>
          <w:bCs/>
          <w:color w:val="0070C0"/>
          <w:vertAlign w:val="superscript"/>
        </w:rPr>
        <w:t>[</w:t>
      </w:r>
      <w:r w:rsidR="00B8754B">
        <w:rPr>
          <w:b/>
          <w:bCs/>
          <w:color w:val="0070C0"/>
          <w:vertAlign w:val="superscript"/>
        </w:rPr>
        <w:t>3</w:t>
      </w:r>
      <w:r w:rsidR="00B8754B" w:rsidRPr="00B8754B">
        <w:rPr>
          <w:b/>
          <w:bCs/>
          <w:color w:val="0070C0"/>
          <w:vertAlign w:val="superscript"/>
        </w:rPr>
        <w:t>]</w:t>
      </w:r>
      <w:r w:rsidR="00B8754B">
        <w:t>.</w:t>
      </w:r>
    </w:p>
    <w:p w14:paraId="04098091" w14:textId="77777777" w:rsidR="00CE65B8" w:rsidRDefault="00CE65B8">
      <w:pPr>
        <w:rPr>
          <w:sz w:val="32"/>
          <w:szCs w:val="32"/>
        </w:rPr>
      </w:pPr>
      <w:r>
        <w:br w:type="page"/>
      </w:r>
    </w:p>
    <w:p w14:paraId="570821A1" w14:textId="1F345933" w:rsidR="005972E0" w:rsidRDefault="00CE65B8" w:rsidP="00CE65B8">
      <w:pPr>
        <w:pStyle w:val="Heading1"/>
      </w:pPr>
      <w:r>
        <w:lastRenderedPageBreak/>
        <w:t xml:space="preserve">Ranked / Risked </w:t>
      </w:r>
      <w:r w:rsidR="005972E0">
        <w:t>Threat Report</w:t>
      </w:r>
    </w:p>
    <w:p w14:paraId="6DFEF0BB" w14:textId="2A765871" w:rsidR="005972E0" w:rsidRDefault="005972E0" w:rsidP="005972E0">
      <w:pPr>
        <w:spacing w:after="240"/>
        <w:jc w:val="both"/>
      </w:pPr>
      <w:r>
        <w:t xml:space="preserve">The </w:t>
      </w:r>
      <w:r w:rsidR="00CE65B8">
        <w:t xml:space="preserve">ranked / risked </w:t>
      </w:r>
      <w:r>
        <w:t xml:space="preserve">threat report should detail the </w:t>
      </w:r>
      <w:r w:rsidR="000152ED">
        <w:t xml:space="preserve">ranked and risked </w:t>
      </w:r>
      <w:r>
        <w:t xml:space="preserve">threats </w:t>
      </w:r>
      <w:r w:rsidR="000152ED">
        <w:t>enumerated in the triaged threat candidates list</w:t>
      </w:r>
      <w:r>
        <w:t xml:space="preserve">. The report should be organized into summary and </w:t>
      </w:r>
      <w:r w:rsidR="007D4250">
        <w:t xml:space="preserve">ranked / risked </w:t>
      </w:r>
      <w:r>
        <w:t>threat details sections. The summary includes:</w:t>
      </w:r>
    </w:p>
    <w:p w14:paraId="68662E91" w14:textId="77777777" w:rsidR="005972E0" w:rsidRDefault="005972E0" w:rsidP="005972E0">
      <w:pPr>
        <w:pStyle w:val="ListParagraph"/>
        <w:numPr>
          <w:ilvl w:val="0"/>
          <w:numId w:val="2"/>
        </w:numPr>
        <w:spacing w:after="240"/>
        <w:ind w:left="270" w:hanging="270"/>
        <w:jc w:val="both"/>
      </w:pPr>
      <w:r>
        <w:t>Description of the system</w:t>
      </w:r>
    </w:p>
    <w:p w14:paraId="0CC1D197" w14:textId="354C42A1" w:rsidR="005972E0" w:rsidRDefault="000C4C75" w:rsidP="005972E0">
      <w:pPr>
        <w:pStyle w:val="ListParagraph"/>
        <w:numPr>
          <w:ilvl w:val="0"/>
          <w:numId w:val="2"/>
        </w:numPr>
        <w:spacing w:after="240"/>
        <w:ind w:left="270" w:hanging="270"/>
        <w:jc w:val="both"/>
      </w:pPr>
      <w:r>
        <w:t>Threat candidates</w:t>
      </w:r>
      <w:r w:rsidR="00894B8B">
        <w:t>’</w:t>
      </w:r>
      <w:r>
        <w:t xml:space="preserve"> source </w:t>
      </w:r>
      <w:r w:rsidR="007D4250">
        <w:t>[</w:t>
      </w:r>
      <w:r w:rsidRPr="007D4250">
        <w:rPr>
          <w:b/>
          <w:bCs/>
        </w:rPr>
        <w:t>threat modeling</w:t>
      </w:r>
      <w:r>
        <w:t xml:space="preserve">, </w:t>
      </w:r>
      <w:r w:rsidRPr="007D4250">
        <w:rPr>
          <w:b/>
          <w:bCs/>
        </w:rPr>
        <w:t>attack surface analysis</w:t>
      </w:r>
      <w:r>
        <w:t xml:space="preserve">, </w:t>
      </w:r>
      <w:r w:rsidRPr="007D4250">
        <w:rPr>
          <w:b/>
          <w:bCs/>
        </w:rPr>
        <w:t>incident response</w:t>
      </w:r>
      <w:r w:rsidR="007D4250">
        <w:t>]</w:t>
      </w:r>
    </w:p>
    <w:p w14:paraId="02923E6A" w14:textId="7EB37180" w:rsidR="005972E0" w:rsidRDefault="000C4C75" w:rsidP="005972E0">
      <w:pPr>
        <w:pStyle w:val="ListParagraph"/>
        <w:numPr>
          <w:ilvl w:val="0"/>
          <w:numId w:val="2"/>
        </w:numPr>
        <w:spacing w:after="240"/>
        <w:ind w:left="270" w:hanging="270"/>
        <w:jc w:val="both"/>
      </w:pPr>
      <w:r>
        <w:t>URI to threat candidate source tracker</w:t>
      </w:r>
    </w:p>
    <w:p w14:paraId="3F711098" w14:textId="1B1FE5E7" w:rsidR="005972E0" w:rsidRDefault="000C4C75" w:rsidP="005972E0">
      <w:pPr>
        <w:pStyle w:val="ListParagraph"/>
        <w:numPr>
          <w:ilvl w:val="0"/>
          <w:numId w:val="2"/>
        </w:numPr>
        <w:spacing w:after="240"/>
        <w:ind w:left="270" w:hanging="270"/>
        <w:jc w:val="both"/>
      </w:pPr>
      <w:r>
        <w:t>Description of ranking methodology</w:t>
      </w:r>
    </w:p>
    <w:p w14:paraId="31C381F2" w14:textId="26F93680" w:rsidR="000C4C75" w:rsidRDefault="000C4C75" w:rsidP="005972E0">
      <w:pPr>
        <w:pStyle w:val="ListParagraph"/>
        <w:numPr>
          <w:ilvl w:val="0"/>
          <w:numId w:val="2"/>
        </w:numPr>
        <w:spacing w:after="240"/>
        <w:ind w:left="270" w:hanging="270"/>
        <w:jc w:val="both"/>
      </w:pPr>
      <w:r>
        <w:t>Description of risking methodology</w:t>
      </w:r>
    </w:p>
    <w:p w14:paraId="147A1D40" w14:textId="619E29BF" w:rsidR="005972E0" w:rsidRDefault="005972E0" w:rsidP="005972E0">
      <w:pPr>
        <w:spacing w:after="240"/>
        <w:jc w:val="both"/>
      </w:pPr>
      <w:r>
        <w:t xml:space="preserve">Individual </w:t>
      </w:r>
      <w:r w:rsidR="007D4250">
        <w:t xml:space="preserve">ranked / risked </w:t>
      </w:r>
      <w:r>
        <w:t>threat candidates include:</w:t>
      </w:r>
    </w:p>
    <w:p w14:paraId="2BC0D36D" w14:textId="77777777" w:rsidR="005972E0" w:rsidRDefault="005972E0" w:rsidP="005972E0">
      <w:pPr>
        <w:pStyle w:val="ListParagraph"/>
        <w:numPr>
          <w:ilvl w:val="0"/>
          <w:numId w:val="2"/>
        </w:numPr>
        <w:spacing w:after="240"/>
        <w:ind w:left="270" w:hanging="270"/>
        <w:jc w:val="both"/>
      </w:pPr>
      <w:r>
        <w:t>Threat ID (unique)</w:t>
      </w:r>
    </w:p>
    <w:p w14:paraId="6D377459" w14:textId="77777777" w:rsidR="005972E0" w:rsidRDefault="005972E0" w:rsidP="005972E0">
      <w:pPr>
        <w:pStyle w:val="ListParagraph"/>
        <w:numPr>
          <w:ilvl w:val="0"/>
          <w:numId w:val="2"/>
        </w:numPr>
        <w:spacing w:after="240"/>
        <w:ind w:left="270" w:hanging="270"/>
        <w:jc w:val="both"/>
      </w:pPr>
      <w:r>
        <w:t>Summary of the threat</w:t>
      </w:r>
    </w:p>
    <w:p w14:paraId="03776D6D" w14:textId="690063CA" w:rsidR="005972E0" w:rsidRDefault="005972E0" w:rsidP="005972E0">
      <w:pPr>
        <w:pStyle w:val="ListParagraph"/>
        <w:numPr>
          <w:ilvl w:val="0"/>
          <w:numId w:val="2"/>
        </w:numPr>
        <w:spacing w:after="240"/>
        <w:ind w:left="270" w:hanging="270"/>
        <w:jc w:val="both"/>
      </w:pPr>
      <w:r>
        <w:t xml:space="preserve">Detailed description of the </w:t>
      </w:r>
      <w:r w:rsidR="000C4C75">
        <w:t>worst case if threat is exploited</w:t>
      </w:r>
    </w:p>
    <w:p w14:paraId="4F011971" w14:textId="31F226BB" w:rsidR="00554410" w:rsidRDefault="00554410" w:rsidP="005972E0">
      <w:pPr>
        <w:pStyle w:val="ListParagraph"/>
        <w:numPr>
          <w:ilvl w:val="0"/>
          <w:numId w:val="2"/>
        </w:numPr>
        <w:spacing w:after="240"/>
        <w:ind w:left="270" w:hanging="270"/>
        <w:jc w:val="both"/>
      </w:pPr>
      <w:r>
        <w:t>Rank (severity)</w:t>
      </w:r>
    </w:p>
    <w:p w14:paraId="0ECE4485" w14:textId="61EC5A38" w:rsidR="00554410" w:rsidRDefault="002B17B8" w:rsidP="00554410">
      <w:pPr>
        <w:pStyle w:val="ListParagraph"/>
        <w:numPr>
          <w:ilvl w:val="1"/>
          <w:numId w:val="2"/>
        </w:numPr>
        <w:spacing w:after="240"/>
        <w:ind w:left="540" w:hanging="270"/>
        <w:jc w:val="both"/>
      </w:pPr>
      <w:r>
        <w:t>Raw v</w:t>
      </w:r>
      <w:r w:rsidR="00554410">
        <w:t>alue (raw rank scoring system value)</w:t>
      </w:r>
    </w:p>
    <w:p w14:paraId="0D2791A7" w14:textId="27CBB4A7" w:rsidR="00554410" w:rsidRDefault="00554410" w:rsidP="00554410">
      <w:pPr>
        <w:pStyle w:val="ListParagraph"/>
        <w:numPr>
          <w:ilvl w:val="1"/>
          <w:numId w:val="2"/>
        </w:numPr>
        <w:spacing w:after="240"/>
        <w:ind w:left="540" w:hanging="270"/>
        <w:jc w:val="both"/>
      </w:pPr>
      <w:r>
        <w:t xml:space="preserve">Canonical </w:t>
      </w:r>
      <w:r w:rsidR="002B17B8">
        <w:t>value</w:t>
      </w:r>
      <w:r>
        <w:t xml:space="preserve"> (such as a </w:t>
      </w:r>
      <w:r w:rsidRPr="007D4250">
        <w:rPr>
          <w:b/>
          <w:bCs/>
        </w:rPr>
        <w:t>CVSS</w:t>
      </w:r>
      <w:r w:rsidR="007D4250">
        <w:rPr>
          <w:b/>
          <w:bCs/>
        </w:rPr>
        <w:t xml:space="preserve"> </w:t>
      </w:r>
      <w:r w:rsidR="007D4250" w:rsidRPr="007D4250">
        <w:rPr>
          <w:b/>
          <w:bCs/>
          <w:color w:val="0070C0"/>
          <w:vertAlign w:val="superscript"/>
        </w:rPr>
        <w:t>[</w:t>
      </w:r>
      <w:r w:rsidR="007D4250">
        <w:rPr>
          <w:b/>
          <w:bCs/>
          <w:color w:val="0070C0"/>
          <w:vertAlign w:val="superscript"/>
        </w:rPr>
        <w:t>6</w:t>
      </w:r>
      <w:r w:rsidR="007D4250" w:rsidRPr="007D4250">
        <w:rPr>
          <w:b/>
          <w:bCs/>
          <w:color w:val="0070C0"/>
          <w:vertAlign w:val="superscript"/>
        </w:rPr>
        <w:t>]</w:t>
      </w:r>
      <w:r>
        <w:t xml:space="preserve"> vector)</w:t>
      </w:r>
    </w:p>
    <w:p w14:paraId="25E1BD27" w14:textId="304428E6" w:rsidR="00554410" w:rsidRDefault="00554410" w:rsidP="00554410">
      <w:pPr>
        <w:pStyle w:val="ListParagraph"/>
        <w:numPr>
          <w:ilvl w:val="1"/>
          <w:numId w:val="2"/>
        </w:numPr>
        <w:spacing w:after="240"/>
        <w:ind w:left="540" w:hanging="270"/>
        <w:jc w:val="both"/>
      </w:pPr>
      <w:r>
        <w:t xml:space="preserve">Quantized </w:t>
      </w:r>
      <w:r w:rsidR="002B17B8">
        <w:t>value</w:t>
      </w:r>
      <w:r>
        <w:t xml:space="preserve"> (ISO 21434</w:t>
      </w:r>
      <w:r w:rsidR="002B17B8">
        <w:t xml:space="preserve"> RQ-15-10: [</w:t>
      </w:r>
      <w:r w:rsidR="002B17B8" w:rsidRPr="002B17B8">
        <w:rPr>
          <w:b/>
          <w:bCs/>
        </w:rPr>
        <w:t>none</w:t>
      </w:r>
      <w:r w:rsidR="002B17B8">
        <w:t xml:space="preserve">, </w:t>
      </w:r>
      <w:r w:rsidR="002B17B8">
        <w:rPr>
          <w:b/>
          <w:bCs/>
        </w:rPr>
        <w:t>very low</w:t>
      </w:r>
      <w:r w:rsidR="002B17B8">
        <w:t xml:space="preserve">, </w:t>
      </w:r>
      <w:r w:rsidR="002B17B8">
        <w:rPr>
          <w:b/>
          <w:bCs/>
        </w:rPr>
        <w:t>low</w:t>
      </w:r>
      <w:r w:rsidR="002B17B8">
        <w:t xml:space="preserve">, </w:t>
      </w:r>
      <w:r w:rsidR="002B17B8">
        <w:rPr>
          <w:b/>
          <w:bCs/>
        </w:rPr>
        <w:t>medium</w:t>
      </w:r>
      <w:r w:rsidR="002B17B8">
        <w:t xml:space="preserve">, </w:t>
      </w:r>
      <w:r w:rsidR="002B17B8">
        <w:rPr>
          <w:b/>
          <w:bCs/>
        </w:rPr>
        <w:t>high</w:t>
      </w:r>
      <w:r w:rsidR="002B17B8">
        <w:t>])</w:t>
      </w:r>
    </w:p>
    <w:p w14:paraId="78C0060A" w14:textId="5B6BC47F" w:rsidR="002B17B8" w:rsidRDefault="002B17B8" w:rsidP="002B17B8">
      <w:pPr>
        <w:pStyle w:val="ListParagraph"/>
        <w:numPr>
          <w:ilvl w:val="1"/>
          <w:numId w:val="2"/>
        </w:numPr>
        <w:spacing w:after="240"/>
        <w:ind w:left="540" w:hanging="270"/>
        <w:jc w:val="both"/>
      </w:pPr>
      <w:r>
        <w:t>Justification of value determination</w:t>
      </w:r>
    </w:p>
    <w:p w14:paraId="4B41F170" w14:textId="31C49858" w:rsidR="002B17B8" w:rsidRDefault="002B17B8" w:rsidP="002B17B8">
      <w:pPr>
        <w:pStyle w:val="ListParagraph"/>
        <w:numPr>
          <w:ilvl w:val="0"/>
          <w:numId w:val="2"/>
        </w:numPr>
        <w:spacing w:after="240"/>
        <w:ind w:left="270" w:hanging="270"/>
        <w:jc w:val="both"/>
      </w:pPr>
      <w:r>
        <w:t>Risk (impact)</w:t>
      </w:r>
    </w:p>
    <w:p w14:paraId="3BD84050" w14:textId="61B5DC98" w:rsidR="002B17B8" w:rsidRDefault="002B17B8" w:rsidP="002B17B8">
      <w:pPr>
        <w:pStyle w:val="ListParagraph"/>
        <w:numPr>
          <w:ilvl w:val="1"/>
          <w:numId w:val="2"/>
        </w:numPr>
        <w:spacing w:after="240"/>
        <w:ind w:left="540" w:hanging="270"/>
        <w:jc w:val="both"/>
      </w:pPr>
      <w:r>
        <w:t>Raw value (raw risk scoring system value)</w:t>
      </w:r>
    </w:p>
    <w:p w14:paraId="722802BE" w14:textId="3E4929E0" w:rsidR="002B17B8" w:rsidRDefault="002B17B8" w:rsidP="002B17B8">
      <w:pPr>
        <w:pStyle w:val="ListParagraph"/>
        <w:numPr>
          <w:ilvl w:val="1"/>
          <w:numId w:val="2"/>
        </w:numPr>
        <w:spacing w:after="240"/>
        <w:ind w:left="540" w:hanging="270"/>
        <w:jc w:val="both"/>
      </w:pPr>
      <w:r>
        <w:t>Canonical value</w:t>
      </w:r>
    </w:p>
    <w:p w14:paraId="03FE3062" w14:textId="3EA7E6E9" w:rsidR="002B17B8" w:rsidRDefault="002B17B8" w:rsidP="002B17B8">
      <w:pPr>
        <w:pStyle w:val="ListParagraph"/>
        <w:numPr>
          <w:ilvl w:val="1"/>
          <w:numId w:val="2"/>
        </w:numPr>
        <w:spacing w:after="240"/>
        <w:ind w:left="540" w:hanging="270"/>
        <w:jc w:val="both"/>
      </w:pPr>
      <w:r>
        <w:t>Quantized value (ISO 21434 RQ-15-16: [</w:t>
      </w:r>
      <w:r>
        <w:rPr>
          <w:b/>
          <w:bCs/>
        </w:rPr>
        <w:t>0</w:t>
      </w:r>
      <w:r>
        <w:t xml:space="preserve">, </w:t>
      </w:r>
      <w:r>
        <w:rPr>
          <w:b/>
          <w:bCs/>
        </w:rPr>
        <w:t>1</w:t>
      </w:r>
      <w:r>
        <w:t xml:space="preserve">, </w:t>
      </w:r>
      <w:r>
        <w:rPr>
          <w:b/>
          <w:bCs/>
        </w:rPr>
        <w:t>2</w:t>
      </w:r>
      <w:r>
        <w:t xml:space="preserve">, </w:t>
      </w:r>
      <w:r>
        <w:rPr>
          <w:b/>
          <w:bCs/>
        </w:rPr>
        <w:t>3</w:t>
      </w:r>
      <w:r>
        <w:t xml:space="preserve">, </w:t>
      </w:r>
      <w:r>
        <w:rPr>
          <w:b/>
          <w:bCs/>
        </w:rPr>
        <w:t>4</w:t>
      </w:r>
      <w:r>
        <w:t xml:space="preserve">, </w:t>
      </w:r>
      <w:r>
        <w:rPr>
          <w:b/>
          <w:bCs/>
        </w:rPr>
        <w:t>5</w:t>
      </w:r>
      <w:r>
        <w:t>])</w:t>
      </w:r>
    </w:p>
    <w:p w14:paraId="505E2111" w14:textId="5D5A5C3D" w:rsidR="002B17B8" w:rsidRDefault="002B17B8" w:rsidP="002B17B8">
      <w:pPr>
        <w:pStyle w:val="ListParagraph"/>
        <w:numPr>
          <w:ilvl w:val="1"/>
          <w:numId w:val="2"/>
        </w:numPr>
        <w:spacing w:after="240"/>
        <w:ind w:left="540" w:hanging="270"/>
        <w:jc w:val="both"/>
      </w:pPr>
      <w:r>
        <w:t>Justification of value determination</w:t>
      </w:r>
    </w:p>
    <w:p w14:paraId="61A3CE6F" w14:textId="17ADA214" w:rsidR="005972E0" w:rsidRDefault="005972E0" w:rsidP="005972E0">
      <w:pPr>
        <w:spacing w:after="240"/>
        <w:jc w:val="both"/>
      </w:pPr>
      <w:r>
        <w:t>It is recommended that the report be generated from a portable data representation so that it can be programmatically manipulated.</w:t>
      </w:r>
    </w:p>
    <w:p w14:paraId="369A3634" w14:textId="77777777" w:rsidR="00CE65B8" w:rsidRDefault="00CE65B8">
      <w:pPr>
        <w:rPr>
          <w:sz w:val="40"/>
          <w:szCs w:val="40"/>
        </w:rPr>
      </w:pPr>
      <w:r>
        <w:br w:type="page"/>
      </w:r>
    </w:p>
    <w:p w14:paraId="1BD4DFF3" w14:textId="340E9FFB" w:rsidR="001F2757" w:rsidRDefault="001F2757" w:rsidP="001F2757">
      <w:pPr>
        <w:pStyle w:val="Heading1"/>
      </w:pPr>
      <w:r>
        <w:lastRenderedPageBreak/>
        <w:t>Rank / Risk Quantization</w:t>
      </w:r>
    </w:p>
    <w:p w14:paraId="50A0246D" w14:textId="1B1F25FD" w:rsidR="001F2757" w:rsidRDefault="001F2757" w:rsidP="001F2757">
      <w:pPr>
        <w:spacing w:after="240"/>
        <w:jc w:val="both"/>
      </w:pPr>
      <w:r>
        <w:t xml:space="preserve">Rank quantization can be mapped from information provided by ranking mechanisms such as </w:t>
      </w:r>
      <w:r w:rsidRPr="001F2757">
        <w:rPr>
          <w:b/>
          <w:bCs/>
        </w:rPr>
        <w:t>CVSS</w:t>
      </w:r>
      <w:r>
        <w:t xml:space="preserve"> </w:t>
      </w:r>
      <w:r w:rsidRPr="001F2757">
        <w:rPr>
          <w:b/>
          <w:bCs/>
          <w:color w:val="0070C0"/>
          <w:vertAlign w:val="superscript"/>
        </w:rPr>
        <w:t>[6]</w:t>
      </w:r>
      <w:r>
        <w:t xml:space="preserve"> to </w:t>
      </w:r>
      <w:r w:rsidRPr="001F2757">
        <w:rPr>
          <w:b/>
          <w:bCs/>
        </w:rPr>
        <w:t>ISO 21434</w:t>
      </w:r>
      <w:r>
        <w:t xml:space="preserve"> as follows:</w:t>
      </w:r>
    </w:p>
    <w:p w14:paraId="0580C726" w14:textId="77777777" w:rsidR="001F2757" w:rsidRDefault="001F2757">
      <w:r>
        <w:rPr>
          <w:noProof/>
        </w:rPr>
        <w:drawing>
          <wp:inline distT="0" distB="0" distL="0" distR="0" wp14:anchorId="2F2D7CF7" wp14:editId="6967DAE3">
            <wp:extent cx="5943600" cy="10299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0997CE29" w14:textId="509AE34D" w:rsidR="001F2757" w:rsidRDefault="001F2757" w:rsidP="001F2757">
      <w:pPr>
        <w:spacing w:before="240" w:after="240"/>
        <w:jc w:val="both"/>
      </w:pPr>
      <w:r>
        <w:t xml:space="preserve">Risk quantization can be similarly mapped from information provided in </w:t>
      </w:r>
      <w:r w:rsidRPr="001F2757">
        <w:rPr>
          <w:b/>
          <w:bCs/>
        </w:rPr>
        <w:t>ISO 26262-3</w:t>
      </w:r>
      <w:r>
        <w:t xml:space="preserve"> </w:t>
      </w:r>
      <w:r w:rsidRPr="001F2757">
        <w:rPr>
          <w:b/>
          <w:bCs/>
          <w:color w:val="0070C0"/>
          <w:vertAlign w:val="superscript"/>
        </w:rPr>
        <w:t>[7]</w:t>
      </w:r>
      <w:r w:rsidR="006865B6">
        <w:t xml:space="preserve">, </w:t>
      </w:r>
      <w:r w:rsidRPr="001F2757">
        <w:rPr>
          <w:b/>
          <w:bCs/>
        </w:rPr>
        <w:t>ISO 14971</w:t>
      </w:r>
      <w:r>
        <w:t xml:space="preserve"> </w:t>
      </w:r>
      <w:r w:rsidRPr="001F2757">
        <w:rPr>
          <w:b/>
          <w:bCs/>
          <w:color w:val="0070C0"/>
          <w:vertAlign w:val="superscript"/>
        </w:rPr>
        <w:t>[8]</w:t>
      </w:r>
      <w:r w:rsidR="006865B6">
        <w:t xml:space="preserve"> and </w:t>
      </w:r>
      <w:r w:rsidR="006865B6" w:rsidRPr="006865B6">
        <w:rPr>
          <w:b/>
          <w:bCs/>
        </w:rPr>
        <w:t>FIPS 199</w:t>
      </w:r>
      <w:r w:rsidR="006865B6">
        <w:t xml:space="preserve"> </w:t>
      </w:r>
      <w:r w:rsidR="006865B6" w:rsidRPr="006865B6">
        <w:rPr>
          <w:b/>
          <w:bCs/>
          <w:color w:val="0070C0"/>
          <w:vertAlign w:val="superscript"/>
        </w:rPr>
        <w:t>[9]</w:t>
      </w:r>
      <w:r w:rsidR="006865B6">
        <w:t xml:space="preserve">: </w:t>
      </w:r>
    </w:p>
    <w:p w14:paraId="2C36060E" w14:textId="09D7495C" w:rsidR="001F2757" w:rsidRDefault="001F2757">
      <w:pPr>
        <w:rPr>
          <w:sz w:val="40"/>
          <w:szCs w:val="40"/>
        </w:rPr>
      </w:pPr>
      <w:r>
        <w:rPr>
          <w:noProof/>
        </w:rPr>
        <w:drawing>
          <wp:inline distT="0" distB="0" distL="0" distR="0" wp14:anchorId="23260CD7" wp14:editId="6C203A97">
            <wp:extent cx="5943600" cy="216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907"/>
                    </a:xfrm>
                    <a:prstGeom prst="rect">
                      <a:avLst/>
                    </a:prstGeom>
                  </pic:spPr>
                </pic:pic>
              </a:graphicData>
            </a:graphic>
          </wp:inline>
        </w:drawing>
      </w:r>
      <w:r>
        <w:br w:type="page"/>
      </w:r>
    </w:p>
    <w:p w14:paraId="3AAA162E" w14:textId="2AA23773" w:rsidR="005C688F" w:rsidRDefault="005C688F" w:rsidP="005C688F">
      <w:pPr>
        <w:pStyle w:val="Heading1"/>
      </w:pPr>
      <w:r>
        <w:lastRenderedPageBreak/>
        <w:t>References</w:t>
      </w:r>
    </w:p>
    <w:p w14:paraId="2A21BC07" w14:textId="027F3033" w:rsidR="005C688F" w:rsidRDefault="00B74FE5" w:rsidP="00B74FE5">
      <w:pPr>
        <w:pStyle w:val="ListParagraph"/>
        <w:numPr>
          <w:ilvl w:val="0"/>
          <w:numId w:val="1"/>
        </w:numPr>
        <w:jc w:val="both"/>
        <w:rPr>
          <w:b/>
          <w:bCs/>
        </w:rPr>
      </w:pPr>
      <w:r w:rsidRPr="00B74FE5">
        <w:rPr>
          <w:b/>
          <w:bCs/>
        </w:rPr>
        <w:t>Threat Prioritization Plan</w:t>
      </w:r>
      <w:r w:rsidR="00CE65B8" w:rsidRPr="00CE65B8">
        <w:t xml:space="preserve"> (AVCDL secondary document)</w:t>
      </w:r>
    </w:p>
    <w:p w14:paraId="799F4B9A" w14:textId="2F39A650" w:rsidR="001932D0" w:rsidRDefault="001932D0" w:rsidP="00B74FE5">
      <w:pPr>
        <w:pStyle w:val="ListParagraph"/>
        <w:numPr>
          <w:ilvl w:val="0"/>
          <w:numId w:val="1"/>
        </w:numPr>
        <w:jc w:val="both"/>
        <w:rPr>
          <w:b/>
          <w:bCs/>
        </w:rPr>
      </w:pPr>
      <w:r>
        <w:rPr>
          <w:b/>
          <w:bCs/>
        </w:rPr>
        <w:t>Threat Modeling Report</w:t>
      </w:r>
      <w:r w:rsidR="00CE65B8" w:rsidRPr="00CE65B8">
        <w:t xml:space="preserve"> (AVCDL secondary document)</w:t>
      </w:r>
    </w:p>
    <w:p w14:paraId="0000000D" w14:textId="4BEC03EF" w:rsidR="00A42849" w:rsidRPr="00B8754B" w:rsidRDefault="004A3A1C" w:rsidP="00931676">
      <w:pPr>
        <w:pStyle w:val="ListParagraph"/>
        <w:numPr>
          <w:ilvl w:val="0"/>
          <w:numId w:val="1"/>
        </w:numPr>
        <w:jc w:val="both"/>
        <w:rPr>
          <w:b/>
          <w:bCs/>
        </w:rPr>
      </w:pPr>
      <w:r>
        <w:rPr>
          <w:b/>
          <w:bCs/>
        </w:rPr>
        <w:t>Threat Report</w:t>
      </w:r>
      <w:r w:rsidR="00CE65B8" w:rsidRPr="00CE65B8">
        <w:t xml:space="preserve"> (AVCDL secondary document)</w:t>
      </w:r>
    </w:p>
    <w:p w14:paraId="385FB274" w14:textId="116FE769" w:rsidR="00B8754B" w:rsidRPr="00B8754B" w:rsidRDefault="00B8754B" w:rsidP="00931676">
      <w:pPr>
        <w:pStyle w:val="ListParagraph"/>
        <w:numPr>
          <w:ilvl w:val="0"/>
          <w:numId w:val="1"/>
        </w:numPr>
        <w:jc w:val="both"/>
        <w:rPr>
          <w:b/>
          <w:bCs/>
        </w:rPr>
      </w:pPr>
      <w:r>
        <w:rPr>
          <w:b/>
          <w:bCs/>
        </w:rPr>
        <w:t>Attack Surface Analysis Report</w:t>
      </w:r>
      <w:r w:rsidRPr="00CE65B8">
        <w:t xml:space="preserve"> (AVCDL secondary document)</w:t>
      </w:r>
    </w:p>
    <w:p w14:paraId="0D0D5A40" w14:textId="566FC0D1" w:rsidR="00B8754B" w:rsidRPr="007D4250" w:rsidRDefault="00B8754B" w:rsidP="00931676">
      <w:pPr>
        <w:pStyle w:val="ListParagraph"/>
        <w:numPr>
          <w:ilvl w:val="0"/>
          <w:numId w:val="1"/>
        </w:numPr>
        <w:jc w:val="both"/>
        <w:rPr>
          <w:b/>
          <w:bCs/>
        </w:rPr>
      </w:pPr>
      <w:r>
        <w:rPr>
          <w:b/>
          <w:bCs/>
        </w:rPr>
        <w:t>Incident Response Report</w:t>
      </w:r>
      <w:r w:rsidRPr="00CE65B8">
        <w:t xml:space="preserve"> (AVCDL secondary document)</w:t>
      </w:r>
    </w:p>
    <w:p w14:paraId="1844ED44" w14:textId="726A8E20" w:rsidR="007D4250" w:rsidRPr="001F2757" w:rsidRDefault="007D4250" w:rsidP="007D4250">
      <w:pPr>
        <w:pStyle w:val="ListParagraph"/>
        <w:numPr>
          <w:ilvl w:val="0"/>
          <w:numId w:val="1"/>
        </w:numPr>
        <w:rPr>
          <w:rStyle w:val="Hyperlink"/>
          <w:b/>
          <w:bCs/>
          <w:color w:val="auto"/>
          <w:u w:val="none"/>
        </w:rPr>
      </w:pPr>
      <w:r>
        <w:rPr>
          <w:b/>
          <w:bCs/>
        </w:rPr>
        <w:t>CVSS (Common Vulnerability Scoring System)</w:t>
      </w:r>
      <w:r>
        <w:rPr>
          <w:b/>
          <w:bCs/>
        </w:rPr>
        <w:br/>
      </w:r>
      <w:hyperlink r:id="rId11" w:history="1">
        <w:r w:rsidRPr="001F2757">
          <w:rPr>
            <w:rStyle w:val="Hyperlink"/>
            <w:rFonts w:ascii="Courier New" w:hAnsi="Courier New" w:cs="Courier New"/>
            <w:b/>
            <w:bCs/>
          </w:rPr>
          <w:t>https://www.first.org/cvss/</w:t>
        </w:r>
      </w:hyperlink>
    </w:p>
    <w:p w14:paraId="7CDB57EF" w14:textId="7CA6A3AB" w:rsidR="001F2757" w:rsidRDefault="001F2757" w:rsidP="007D4250">
      <w:pPr>
        <w:pStyle w:val="ListParagraph"/>
        <w:numPr>
          <w:ilvl w:val="0"/>
          <w:numId w:val="1"/>
        </w:numPr>
        <w:rPr>
          <w:b/>
          <w:bCs/>
        </w:rPr>
      </w:pPr>
      <w:r>
        <w:rPr>
          <w:b/>
          <w:bCs/>
        </w:rPr>
        <w:t>ISO 26262-3:2018 Road vehicles – Functional safety – Part 3: Concept phase</w:t>
      </w:r>
      <w:r>
        <w:rPr>
          <w:b/>
          <w:bCs/>
        </w:rPr>
        <w:br/>
      </w:r>
      <w:hyperlink r:id="rId12" w:history="1">
        <w:r w:rsidRPr="008D518E">
          <w:rPr>
            <w:rStyle w:val="Hyperlink"/>
            <w:rFonts w:ascii="Courier New" w:hAnsi="Courier New" w:cs="Courier New"/>
            <w:b/>
            <w:bCs/>
          </w:rPr>
          <w:t>https://www.iso.org/standard/68385.html</w:t>
        </w:r>
      </w:hyperlink>
      <w:r>
        <w:rPr>
          <w:rFonts w:ascii="Courier New" w:hAnsi="Courier New" w:cs="Courier New"/>
          <w:b/>
          <w:bCs/>
        </w:rPr>
        <w:t xml:space="preserve"> </w:t>
      </w:r>
    </w:p>
    <w:p w14:paraId="058D88CF" w14:textId="142D5C39" w:rsidR="001F2757" w:rsidRPr="006865B6" w:rsidRDefault="001F2757" w:rsidP="007D4250">
      <w:pPr>
        <w:pStyle w:val="ListParagraph"/>
        <w:numPr>
          <w:ilvl w:val="0"/>
          <w:numId w:val="1"/>
        </w:numPr>
        <w:rPr>
          <w:b/>
          <w:bCs/>
        </w:rPr>
      </w:pPr>
      <w:r>
        <w:rPr>
          <w:b/>
          <w:bCs/>
        </w:rPr>
        <w:t>ISO 14971:2019 Medical devices – Application of risk management to medical devices</w:t>
      </w:r>
      <w:r>
        <w:rPr>
          <w:b/>
          <w:bCs/>
        </w:rPr>
        <w:br/>
      </w:r>
      <w:hyperlink r:id="rId13" w:history="1">
        <w:r w:rsidRPr="001F2757">
          <w:rPr>
            <w:rStyle w:val="Hyperlink"/>
            <w:rFonts w:ascii="Courier New" w:hAnsi="Courier New" w:cs="Courier New"/>
            <w:b/>
            <w:bCs/>
          </w:rPr>
          <w:t>https://www.iso.org/standard/72704.html</w:t>
        </w:r>
      </w:hyperlink>
    </w:p>
    <w:p w14:paraId="2B37A550" w14:textId="7C74E18B" w:rsidR="006865B6" w:rsidRPr="006865B6" w:rsidRDefault="006865B6" w:rsidP="006865B6">
      <w:pPr>
        <w:pStyle w:val="ListParagraph"/>
        <w:numPr>
          <w:ilvl w:val="0"/>
          <w:numId w:val="1"/>
        </w:numPr>
        <w:rPr>
          <w:b/>
          <w:bCs/>
          <w:lang w:val="en-US"/>
        </w:rPr>
      </w:pPr>
      <w:r>
        <w:rPr>
          <w:b/>
          <w:bCs/>
        </w:rPr>
        <w:t xml:space="preserve">NIST FIPS 199 </w:t>
      </w:r>
      <w:r w:rsidRPr="006865B6">
        <w:rPr>
          <w:b/>
          <w:bCs/>
          <w:lang w:val="en-US"/>
        </w:rPr>
        <w:t>Standards for Security Categorization of Federal Information and Information Systems</w:t>
      </w:r>
      <w:r>
        <w:rPr>
          <w:b/>
          <w:bCs/>
          <w:lang w:val="en-US"/>
        </w:rPr>
        <w:br/>
      </w:r>
      <w:hyperlink r:id="rId14" w:history="1">
        <w:r w:rsidRPr="008E6D25">
          <w:rPr>
            <w:rStyle w:val="Hyperlink"/>
            <w:rFonts w:ascii="Courier New" w:hAnsi="Courier New" w:cs="Courier New"/>
            <w:b/>
            <w:bCs/>
            <w:lang w:val="en-US"/>
          </w:rPr>
          <w:t>https://nvlpubs.nist.gov/nistpubs/FIPS/NIST.FIPS.199.pdf</w:t>
        </w:r>
      </w:hyperlink>
      <w:r>
        <w:rPr>
          <w:rFonts w:ascii="Courier New" w:hAnsi="Courier New" w:cs="Courier New"/>
          <w:b/>
          <w:bCs/>
          <w:lang w:val="en-US"/>
        </w:rPr>
        <w:t xml:space="preserve"> </w:t>
      </w:r>
    </w:p>
    <w:sectPr w:rsidR="006865B6" w:rsidRPr="006865B6" w:rsidSect="0052052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90A0D" w14:textId="77777777" w:rsidR="00241D0D" w:rsidRDefault="00241D0D" w:rsidP="0052052D">
      <w:pPr>
        <w:spacing w:line="240" w:lineRule="auto"/>
      </w:pPr>
      <w:r>
        <w:separator/>
      </w:r>
    </w:p>
  </w:endnote>
  <w:endnote w:type="continuationSeparator" w:id="0">
    <w:p w14:paraId="79EBCE04" w14:textId="77777777" w:rsidR="00241D0D" w:rsidRDefault="00241D0D" w:rsidP="0052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9412840"/>
      <w:docPartObj>
        <w:docPartGallery w:val="Page Numbers (Bottom of Page)"/>
        <w:docPartUnique/>
      </w:docPartObj>
    </w:sdtPr>
    <w:sdtEndPr>
      <w:rPr>
        <w:rStyle w:val="PageNumber"/>
      </w:rPr>
    </w:sdtEndPr>
    <w:sdtContent>
      <w:p w14:paraId="43341AAC" w14:textId="574BF12F" w:rsidR="0052052D" w:rsidRDefault="0052052D"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6094C" w14:textId="77777777" w:rsidR="0052052D" w:rsidRDefault="0052052D" w:rsidP="005205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750409"/>
      <w:docPartObj>
        <w:docPartGallery w:val="Page Numbers (Bottom of Page)"/>
        <w:docPartUnique/>
      </w:docPartObj>
    </w:sdtPr>
    <w:sdtEndPr>
      <w:rPr>
        <w:rStyle w:val="PageNumber"/>
      </w:rPr>
    </w:sdtEndPr>
    <w:sdtContent>
      <w:p w14:paraId="4B9C6B7C" w14:textId="5F1E9256" w:rsidR="0052052D" w:rsidRDefault="0052052D"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222CA0" w14:textId="77777777" w:rsidR="0052052D" w:rsidRDefault="0052052D" w:rsidP="005205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1BC30" w14:textId="77777777" w:rsidR="00241D0D" w:rsidRDefault="00241D0D" w:rsidP="0052052D">
      <w:pPr>
        <w:spacing w:line="240" w:lineRule="auto"/>
      </w:pPr>
      <w:r>
        <w:separator/>
      </w:r>
    </w:p>
  </w:footnote>
  <w:footnote w:type="continuationSeparator" w:id="0">
    <w:p w14:paraId="387CFABD" w14:textId="77777777" w:rsidR="00241D0D" w:rsidRDefault="00241D0D" w:rsidP="005205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49"/>
    <w:rsid w:val="000152ED"/>
    <w:rsid w:val="000408DD"/>
    <w:rsid w:val="000564C1"/>
    <w:rsid w:val="000C4C75"/>
    <w:rsid w:val="000D4D38"/>
    <w:rsid w:val="001932D0"/>
    <w:rsid w:val="001F2757"/>
    <w:rsid w:val="00241D0D"/>
    <w:rsid w:val="002A7893"/>
    <w:rsid w:val="002B17B8"/>
    <w:rsid w:val="0035589D"/>
    <w:rsid w:val="004A3A1C"/>
    <w:rsid w:val="0052052D"/>
    <w:rsid w:val="0053792B"/>
    <w:rsid w:val="00554410"/>
    <w:rsid w:val="005972E0"/>
    <w:rsid w:val="005C688F"/>
    <w:rsid w:val="005D321C"/>
    <w:rsid w:val="006865B6"/>
    <w:rsid w:val="006B1452"/>
    <w:rsid w:val="006D35CF"/>
    <w:rsid w:val="007D4250"/>
    <w:rsid w:val="008862C0"/>
    <w:rsid w:val="00894B8B"/>
    <w:rsid w:val="008B468A"/>
    <w:rsid w:val="008E4C20"/>
    <w:rsid w:val="00931676"/>
    <w:rsid w:val="00981677"/>
    <w:rsid w:val="009F2561"/>
    <w:rsid w:val="00A42849"/>
    <w:rsid w:val="00AC561A"/>
    <w:rsid w:val="00B74FE5"/>
    <w:rsid w:val="00B8754B"/>
    <w:rsid w:val="00BC4420"/>
    <w:rsid w:val="00C05327"/>
    <w:rsid w:val="00CE65B8"/>
    <w:rsid w:val="00D86FA4"/>
    <w:rsid w:val="00E701E2"/>
    <w:rsid w:val="00EB51DA"/>
    <w:rsid w:val="00E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C98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4F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FE5"/>
    <w:rPr>
      <w:rFonts w:ascii="Times New Roman" w:hAnsi="Times New Roman" w:cs="Times New Roman"/>
      <w:sz w:val="18"/>
      <w:szCs w:val="18"/>
    </w:rPr>
  </w:style>
  <w:style w:type="paragraph" w:styleId="ListParagraph">
    <w:name w:val="List Paragraph"/>
    <w:basedOn w:val="Normal"/>
    <w:uiPriority w:val="34"/>
    <w:qFormat/>
    <w:rsid w:val="00B74FE5"/>
    <w:pPr>
      <w:ind w:left="720"/>
      <w:contextualSpacing/>
    </w:pPr>
  </w:style>
  <w:style w:type="character" w:styleId="Hyperlink">
    <w:name w:val="Hyperlink"/>
    <w:basedOn w:val="DefaultParagraphFont"/>
    <w:uiPriority w:val="99"/>
    <w:unhideWhenUsed/>
    <w:rsid w:val="007D4250"/>
    <w:rPr>
      <w:color w:val="0000FF" w:themeColor="hyperlink"/>
      <w:u w:val="single"/>
    </w:rPr>
  </w:style>
  <w:style w:type="character" w:styleId="UnresolvedMention">
    <w:name w:val="Unresolved Mention"/>
    <w:basedOn w:val="DefaultParagraphFont"/>
    <w:uiPriority w:val="99"/>
    <w:semiHidden/>
    <w:unhideWhenUsed/>
    <w:rsid w:val="007D4250"/>
    <w:rPr>
      <w:color w:val="605E5C"/>
      <w:shd w:val="clear" w:color="auto" w:fill="E1DFDD"/>
    </w:rPr>
  </w:style>
  <w:style w:type="paragraph" w:customStyle="1" w:styleId="FirstParagraph">
    <w:name w:val="First Paragraph"/>
    <w:basedOn w:val="BodyText"/>
    <w:next w:val="BodyText"/>
    <w:qFormat/>
    <w:rsid w:val="002A789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A7893"/>
    <w:pPr>
      <w:spacing w:after="120"/>
    </w:pPr>
  </w:style>
  <w:style w:type="character" w:customStyle="1" w:styleId="BodyTextChar">
    <w:name w:val="Body Text Char"/>
    <w:basedOn w:val="DefaultParagraphFont"/>
    <w:link w:val="BodyText"/>
    <w:uiPriority w:val="99"/>
    <w:semiHidden/>
    <w:rsid w:val="002A7893"/>
  </w:style>
  <w:style w:type="paragraph" w:styleId="NormalWeb">
    <w:name w:val="Normal (Web)"/>
    <w:basedOn w:val="Normal"/>
    <w:uiPriority w:val="99"/>
    <w:semiHidden/>
    <w:unhideWhenUsed/>
    <w:rsid w:val="006865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2052D"/>
    <w:pPr>
      <w:tabs>
        <w:tab w:val="center" w:pos="4680"/>
        <w:tab w:val="right" w:pos="9360"/>
      </w:tabs>
      <w:spacing w:line="240" w:lineRule="auto"/>
    </w:pPr>
  </w:style>
  <w:style w:type="character" w:customStyle="1" w:styleId="HeaderChar">
    <w:name w:val="Header Char"/>
    <w:basedOn w:val="DefaultParagraphFont"/>
    <w:link w:val="Header"/>
    <w:uiPriority w:val="99"/>
    <w:rsid w:val="0052052D"/>
  </w:style>
  <w:style w:type="paragraph" w:styleId="Footer">
    <w:name w:val="footer"/>
    <w:basedOn w:val="Normal"/>
    <w:link w:val="FooterChar"/>
    <w:uiPriority w:val="99"/>
    <w:unhideWhenUsed/>
    <w:rsid w:val="0052052D"/>
    <w:pPr>
      <w:tabs>
        <w:tab w:val="center" w:pos="4680"/>
        <w:tab w:val="right" w:pos="9360"/>
      </w:tabs>
      <w:spacing w:line="240" w:lineRule="auto"/>
    </w:pPr>
  </w:style>
  <w:style w:type="character" w:customStyle="1" w:styleId="FooterChar">
    <w:name w:val="Footer Char"/>
    <w:basedOn w:val="DefaultParagraphFont"/>
    <w:link w:val="Footer"/>
    <w:uiPriority w:val="99"/>
    <w:rsid w:val="0052052D"/>
  </w:style>
  <w:style w:type="character" w:styleId="PageNumber">
    <w:name w:val="page number"/>
    <w:basedOn w:val="DefaultParagraphFont"/>
    <w:uiPriority w:val="99"/>
    <w:semiHidden/>
    <w:unhideWhenUsed/>
    <w:rsid w:val="0052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075753">
      <w:bodyDiv w:val="1"/>
      <w:marLeft w:val="0"/>
      <w:marRight w:val="0"/>
      <w:marTop w:val="0"/>
      <w:marBottom w:val="0"/>
      <w:divBdr>
        <w:top w:val="none" w:sz="0" w:space="0" w:color="auto"/>
        <w:left w:val="none" w:sz="0" w:space="0" w:color="auto"/>
        <w:bottom w:val="none" w:sz="0" w:space="0" w:color="auto"/>
        <w:right w:val="none" w:sz="0" w:space="0" w:color="auto"/>
      </w:divBdr>
      <w:divsChild>
        <w:div w:id="967273516">
          <w:marLeft w:val="0"/>
          <w:marRight w:val="0"/>
          <w:marTop w:val="0"/>
          <w:marBottom w:val="0"/>
          <w:divBdr>
            <w:top w:val="none" w:sz="0" w:space="0" w:color="auto"/>
            <w:left w:val="none" w:sz="0" w:space="0" w:color="auto"/>
            <w:bottom w:val="none" w:sz="0" w:space="0" w:color="auto"/>
            <w:right w:val="none" w:sz="0" w:space="0" w:color="auto"/>
          </w:divBdr>
          <w:divsChild>
            <w:div w:id="1718310276">
              <w:marLeft w:val="0"/>
              <w:marRight w:val="0"/>
              <w:marTop w:val="0"/>
              <w:marBottom w:val="0"/>
              <w:divBdr>
                <w:top w:val="none" w:sz="0" w:space="0" w:color="auto"/>
                <w:left w:val="none" w:sz="0" w:space="0" w:color="auto"/>
                <w:bottom w:val="none" w:sz="0" w:space="0" w:color="auto"/>
                <w:right w:val="none" w:sz="0" w:space="0" w:color="auto"/>
              </w:divBdr>
              <w:divsChild>
                <w:div w:id="6433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standard/7270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www.iso.org/standard/68385.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rst.org/cv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vlpubs.nist.gov/nistpubs/FIPS/NIST.FIPS.1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632</Words>
  <Characters>3617</Characters>
  <Application>Microsoft Office Word</Application>
  <DocSecurity>0</DocSecurity>
  <Lines>90</Lines>
  <Paragraphs>49</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4200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Ranked / Risked Threat Report</dc:title>
  <dc:subject>ranked risked threat report</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dcterms:created xsi:type="dcterms:W3CDTF">2022-05-31T11:19:00Z</dcterms:created>
  <dcterms:modified xsi:type="dcterms:W3CDTF">2022-05-31T11:20:00Z</dcterms:modified>
  <cp:category/>
</cp:coreProperties>
</file>