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57B7A" w:rsidRDefault="000F5858">
      <w:pPr>
        <w:pStyle w:val="Title"/>
        <w:jc w:val="center"/>
      </w:pPr>
      <w:bookmarkStart w:id="0" w:name="_v0twu2etnwkb" w:colFirst="0" w:colLast="0"/>
      <w:bookmarkEnd w:id="0"/>
      <w:r>
        <w:t>Decommissioning Plan</w:t>
      </w:r>
    </w:p>
    <w:p w14:paraId="00000002" w14:textId="65854193" w:rsidR="00E57B7A" w:rsidRDefault="00E33539">
      <w:pPr>
        <w:pStyle w:val="Heading1"/>
      </w:pPr>
      <w:bookmarkStart w:id="1" w:name="_pjac2je3ttgf" w:colFirst="0" w:colLast="0"/>
      <w:bookmarkEnd w:id="1"/>
      <w:r>
        <w:t>Revision</w:t>
      </w:r>
    </w:p>
    <w:p w14:paraId="44319B04" w14:textId="47523C6E" w:rsidR="00947A9F" w:rsidRPr="00947A9F" w:rsidRDefault="00947A9F" w:rsidP="00947A9F">
      <w:r>
        <w:t>Version</w:t>
      </w:r>
      <w:r w:rsidR="009A7BC8">
        <w:t xml:space="preserve"> </w:t>
      </w:r>
      <w:r w:rsidR="002639A0">
        <w:t>3</w:t>
      </w:r>
    </w:p>
    <w:p w14:paraId="00000003" w14:textId="5E5813A8" w:rsidR="00E57B7A" w:rsidRDefault="005D660B">
      <w:pPr>
        <w:jc w:val="both"/>
      </w:pPr>
      <w:r>
        <w:fldChar w:fldCharType="begin"/>
      </w:r>
      <w:r>
        <w:instrText xml:space="preserve"> DATE \@ "M/d/yy h:mm am/pm" </w:instrText>
      </w:r>
      <w:r>
        <w:fldChar w:fldCharType="separate"/>
      </w:r>
      <w:r w:rsidR="00F52D1B">
        <w:rPr>
          <w:noProof/>
        </w:rPr>
        <w:t>11/15/21 8:46 AM</w:t>
      </w:r>
      <w:r>
        <w:fldChar w:fldCharType="end"/>
      </w:r>
    </w:p>
    <w:p w14:paraId="529E6DF6" w14:textId="653EC7F6" w:rsidR="00947A9F" w:rsidRDefault="00947A9F" w:rsidP="00947A9F">
      <w:pPr>
        <w:pStyle w:val="Heading1"/>
      </w:pPr>
      <w:bookmarkStart w:id="2" w:name="_54bgemmh6zb8" w:colFirst="0" w:colLast="0"/>
      <w:bookmarkEnd w:id="2"/>
      <w:r>
        <w:t>SME</w:t>
      </w:r>
    </w:p>
    <w:p w14:paraId="22ED5681" w14:textId="52C24385" w:rsidR="00947A9F" w:rsidRDefault="003E700A" w:rsidP="00947A9F">
      <w:pPr>
        <w:jc w:val="both"/>
      </w:pPr>
      <w:r>
        <w:t>Charles Wilson</w:t>
      </w:r>
    </w:p>
    <w:p w14:paraId="6F37ECB8" w14:textId="77777777" w:rsidR="005D660B" w:rsidRDefault="005D660B" w:rsidP="005D660B">
      <w:pPr>
        <w:pStyle w:val="Heading1"/>
      </w:pPr>
      <w:r>
        <w:t>Abstract</w:t>
      </w:r>
    </w:p>
    <w:p w14:paraId="4F814EE5" w14:textId="4338B146" w:rsidR="005D660B" w:rsidRDefault="005D660B" w:rsidP="005D660B">
      <w:pPr>
        <w:jc w:val="both"/>
      </w:pPr>
      <w:r>
        <w:t xml:space="preserve">This document describes the </w:t>
      </w:r>
      <w:r w:rsidR="00947A9F">
        <w:t>process</w:t>
      </w:r>
      <w:r>
        <w:t xml:space="preserve"> to handle the cybersecurity aspects of decommissioning an autonomous vehicle</w:t>
      </w:r>
      <w:r w:rsidR="0017462F">
        <w:t xml:space="preserve"> or components therein</w:t>
      </w:r>
      <w:r>
        <w:t>.</w:t>
      </w:r>
    </w:p>
    <w:p w14:paraId="00000004" w14:textId="77777777" w:rsidR="00E57B7A" w:rsidRDefault="000F5858">
      <w:pPr>
        <w:pStyle w:val="Heading1"/>
        <w:jc w:val="both"/>
      </w:pPr>
      <w:r>
        <w:t>Group / Owner</w:t>
      </w:r>
    </w:p>
    <w:p w14:paraId="00000005" w14:textId="3752AB93" w:rsidR="00E57B7A" w:rsidRDefault="003E700A">
      <w:pPr>
        <w:jc w:val="both"/>
      </w:pPr>
      <w:r>
        <w:t>S</w:t>
      </w:r>
      <w:r w:rsidR="000F5858">
        <w:t>ecurity / Partner Integration Planner</w:t>
      </w:r>
    </w:p>
    <w:p w14:paraId="00000006" w14:textId="77777777" w:rsidR="00E57B7A" w:rsidRDefault="000F5858">
      <w:pPr>
        <w:pStyle w:val="Heading1"/>
        <w:jc w:val="both"/>
      </w:pPr>
      <w:bookmarkStart w:id="3" w:name="_olcs7d4b90ea" w:colFirst="0" w:colLast="0"/>
      <w:bookmarkEnd w:id="3"/>
      <w:r>
        <w:t>Motivation</w:t>
      </w:r>
    </w:p>
    <w:p w14:paraId="00000007" w14:textId="59F96784" w:rsidR="00E57B7A" w:rsidRDefault="000F5858">
      <w:pPr>
        <w:jc w:val="both"/>
      </w:pPr>
      <w:r>
        <w:t xml:space="preserve">This document is motivated by the need to have formal processes to securely decommission a safety-critical, cyber-physical system for certification of compliance to standards such as </w:t>
      </w:r>
      <w:r w:rsidRPr="00975925">
        <w:rPr>
          <w:b/>
          <w:bCs/>
        </w:rPr>
        <w:t>ISO 21434</w:t>
      </w:r>
      <w:r>
        <w:t xml:space="preserve"> and </w:t>
      </w:r>
      <w:r w:rsidR="00975925" w:rsidRPr="00975925">
        <w:rPr>
          <w:b/>
          <w:bCs/>
        </w:rPr>
        <w:t xml:space="preserve">ISO </w:t>
      </w:r>
      <w:r w:rsidRPr="00975925">
        <w:rPr>
          <w:b/>
          <w:bCs/>
        </w:rPr>
        <w:t>26262</w:t>
      </w:r>
      <w:r>
        <w:t>.</w:t>
      </w:r>
    </w:p>
    <w:p w14:paraId="29AC2F6A" w14:textId="77777777" w:rsidR="00947A9F" w:rsidRDefault="00947A9F" w:rsidP="00947A9F">
      <w:pPr>
        <w:pStyle w:val="Heading1"/>
        <w:jc w:val="both"/>
      </w:pPr>
      <w:bookmarkStart w:id="4" w:name="_f5diy2ktdyyf" w:colFirst="0" w:colLast="0"/>
      <w:bookmarkEnd w:id="4"/>
      <w:r>
        <w:t>License</w:t>
      </w:r>
    </w:p>
    <w:p w14:paraId="4DA3CBF9" w14:textId="77777777" w:rsidR="00947A9F" w:rsidRDefault="00947A9F" w:rsidP="00947A9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1FD500D3" w14:textId="77777777" w:rsidR="00947A9F" w:rsidRDefault="00F52D1B" w:rsidP="00947A9F">
      <w:pPr>
        <w:pStyle w:val="FirstParagraph"/>
        <w:jc w:val="both"/>
      </w:pPr>
      <w:hyperlink r:id="rId5" w:history="1">
        <w:r w:rsidR="00947A9F" w:rsidRPr="00FE6B19">
          <w:rPr>
            <w:rStyle w:val="Hyperlink"/>
            <w:rFonts w:ascii="Courier New" w:hAnsi="Courier New" w:cs="Courier New"/>
            <w:b/>
            <w:bCs/>
          </w:rPr>
          <w:t>https://creativecommons.org/licenses/by/4.0/legalcode</w:t>
        </w:r>
      </w:hyperlink>
    </w:p>
    <w:p w14:paraId="6B9F9E35" w14:textId="77777777" w:rsidR="00947A9F" w:rsidRDefault="00947A9F">
      <w:pPr>
        <w:rPr>
          <w:sz w:val="40"/>
          <w:szCs w:val="40"/>
        </w:rPr>
      </w:pPr>
      <w:r>
        <w:br w:type="page"/>
      </w:r>
    </w:p>
    <w:p w14:paraId="00000008" w14:textId="117FB717" w:rsidR="00E57B7A" w:rsidRDefault="000F5858">
      <w:pPr>
        <w:pStyle w:val="Heading1"/>
      </w:pPr>
      <w:r>
        <w:lastRenderedPageBreak/>
        <w:t>Overview</w:t>
      </w:r>
    </w:p>
    <w:p w14:paraId="0000000A" w14:textId="160ED97D" w:rsidR="00E57B7A" w:rsidRDefault="000F5858" w:rsidP="00037497">
      <w:pPr>
        <w:spacing w:after="240"/>
        <w:jc w:val="both"/>
      </w:pPr>
      <w:r>
        <w:t>Stored within the systems of an autonomous vehicle are cryptographic materials that allow for secure data storage, transmission and manipulation. These materials need to be removed from the vehicle systems at the time of decommissioning. They include:</w:t>
      </w:r>
    </w:p>
    <w:p w14:paraId="0000000B" w14:textId="613937D7" w:rsidR="00E57B7A" w:rsidRDefault="004E4F73" w:rsidP="00E55C03">
      <w:pPr>
        <w:numPr>
          <w:ilvl w:val="0"/>
          <w:numId w:val="1"/>
        </w:numPr>
        <w:ind w:left="360"/>
        <w:jc w:val="both"/>
      </w:pPr>
      <w:r>
        <w:t>C</w:t>
      </w:r>
      <w:r w:rsidR="000F5858">
        <w:t>redentials</w:t>
      </w:r>
    </w:p>
    <w:p w14:paraId="0000000C" w14:textId="32577BE8" w:rsidR="00E57B7A" w:rsidRDefault="004E4F73" w:rsidP="00E55C03">
      <w:pPr>
        <w:numPr>
          <w:ilvl w:val="0"/>
          <w:numId w:val="1"/>
        </w:numPr>
        <w:ind w:left="360"/>
        <w:jc w:val="both"/>
      </w:pPr>
      <w:r>
        <w:t>C</w:t>
      </w:r>
      <w:r w:rsidR="000F5858">
        <w:t>ertificates</w:t>
      </w:r>
    </w:p>
    <w:p w14:paraId="0000000D" w14:textId="77777777" w:rsidR="00E57B7A" w:rsidRDefault="000F5858" w:rsidP="00E55C03">
      <w:pPr>
        <w:numPr>
          <w:ilvl w:val="0"/>
          <w:numId w:val="1"/>
        </w:numPr>
        <w:ind w:left="360"/>
        <w:jc w:val="both"/>
      </w:pPr>
      <w:r>
        <w:t>PII</w:t>
      </w:r>
    </w:p>
    <w:p w14:paraId="0000000E" w14:textId="53B2404C" w:rsidR="00E57B7A" w:rsidRDefault="004E4F73" w:rsidP="00E55C03">
      <w:pPr>
        <w:numPr>
          <w:ilvl w:val="0"/>
          <w:numId w:val="1"/>
        </w:numPr>
        <w:ind w:left="360"/>
        <w:jc w:val="both"/>
      </w:pPr>
      <w:r>
        <w:t>L</w:t>
      </w:r>
      <w:r w:rsidR="000F5858">
        <w:t>ogs</w:t>
      </w:r>
    </w:p>
    <w:p w14:paraId="7CD56E7D" w14:textId="201684FD" w:rsidR="004E4F73" w:rsidRDefault="004E4F73" w:rsidP="00E55C03">
      <w:pPr>
        <w:numPr>
          <w:ilvl w:val="0"/>
          <w:numId w:val="1"/>
        </w:numPr>
        <w:ind w:left="360"/>
        <w:jc w:val="both"/>
      </w:pPr>
      <w:r>
        <w:t>Location history</w:t>
      </w:r>
    </w:p>
    <w:p w14:paraId="1AF8A10C" w14:textId="4F68523D" w:rsidR="004E4F73" w:rsidRDefault="004E4F73" w:rsidP="00E55C03">
      <w:pPr>
        <w:numPr>
          <w:ilvl w:val="0"/>
          <w:numId w:val="1"/>
        </w:numPr>
        <w:ind w:left="360"/>
        <w:jc w:val="both"/>
      </w:pPr>
      <w:r>
        <w:t>Previous destinations</w:t>
      </w:r>
    </w:p>
    <w:p w14:paraId="7027CB85" w14:textId="373AD974" w:rsidR="004E4F73" w:rsidRDefault="004E4F73" w:rsidP="00E55C03">
      <w:pPr>
        <w:numPr>
          <w:ilvl w:val="0"/>
          <w:numId w:val="1"/>
        </w:numPr>
        <w:ind w:left="360"/>
        <w:jc w:val="both"/>
      </w:pPr>
      <w:r>
        <w:t>Call history</w:t>
      </w:r>
    </w:p>
    <w:p w14:paraId="0000000F" w14:textId="2A5C73CB" w:rsidR="00E57B7A" w:rsidRDefault="004E4F73" w:rsidP="00037497">
      <w:pPr>
        <w:numPr>
          <w:ilvl w:val="0"/>
          <w:numId w:val="1"/>
        </w:numPr>
        <w:spacing w:after="240"/>
        <w:ind w:left="360"/>
        <w:jc w:val="both"/>
      </w:pPr>
      <w:r>
        <w:t>Stored contacts</w:t>
      </w:r>
    </w:p>
    <w:p w14:paraId="62618022" w14:textId="3C1BA0FE" w:rsidR="000057D9" w:rsidRDefault="000057D9" w:rsidP="00037497">
      <w:pPr>
        <w:spacing w:after="240"/>
        <w:jc w:val="both"/>
      </w:pPr>
      <w:r>
        <w:t>There are two mod</w:t>
      </w:r>
      <w:r w:rsidR="003E700A">
        <w:t>alities</w:t>
      </w:r>
      <w:r>
        <w:t xml:space="preserve"> within the context of decommissioning:</w:t>
      </w:r>
    </w:p>
    <w:p w14:paraId="44713760" w14:textId="6487DF3C" w:rsidR="000057D9" w:rsidRDefault="000057D9" w:rsidP="00E55C03">
      <w:pPr>
        <w:pStyle w:val="ListParagraph"/>
        <w:numPr>
          <w:ilvl w:val="0"/>
          <w:numId w:val="2"/>
        </w:numPr>
        <w:ind w:left="360"/>
        <w:jc w:val="both"/>
      </w:pPr>
      <w:r>
        <w:t>RMA</w:t>
      </w:r>
      <w:r w:rsidR="003E700A">
        <w:t xml:space="preserve"> (Return Merchandise Authorization)</w:t>
      </w:r>
      <w:r w:rsidR="00F95ECB">
        <w:t xml:space="preserve"> </w:t>
      </w:r>
      <w:r w:rsidR="00F95ECB" w:rsidRPr="00F95ECB">
        <w:rPr>
          <w:b/>
          <w:bCs/>
          <w:color w:val="0070C0"/>
          <w:vertAlign w:val="superscript"/>
        </w:rPr>
        <w:t>[1]</w:t>
      </w:r>
    </w:p>
    <w:p w14:paraId="174D0F8E" w14:textId="6D090A0A" w:rsidR="000057D9" w:rsidRDefault="003E700A" w:rsidP="00E55C03">
      <w:pPr>
        <w:pStyle w:val="ListParagraph"/>
        <w:numPr>
          <w:ilvl w:val="0"/>
          <w:numId w:val="2"/>
        </w:numPr>
        <w:ind w:left="360"/>
        <w:jc w:val="both"/>
      </w:pPr>
      <w:r>
        <w:t>EoL (End-of-Life)</w:t>
      </w:r>
    </w:p>
    <w:p w14:paraId="00000010" w14:textId="77777777" w:rsidR="00E57B7A" w:rsidRDefault="000F5858">
      <w:pPr>
        <w:pStyle w:val="Heading1"/>
      </w:pPr>
      <w:bookmarkStart w:id="5" w:name="_ka2wojif16d2" w:colFirst="0" w:colLast="0"/>
      <w:bookmarkEnd w:id="5"/>
      <w:r>
        <w:br w:type="page"/>
      </w:r>
    </w:p>
    <w:p w14:paraId="00000011" w14:textId="0827E487" w:rsidR="00E57B7A" w:rsidRDefault="00947A9F">
      <w:pPr>
        <w:pStyle w:val="Heading1"/>
      </w:pPr>
      <w:bookmarkStart w:id="6" w:name="_wvwcri86u3uk" w:colFirst="0" w:colLast="0"/>
      <w:bookmarkEnd w:id="6"/>
      <w:r>
        <w:lastRenderedPageBreak/>
        <w:t>Process</w:t>
      </w:r>
    </w:p>
    <w:p w14:paraId="0F5E33E6" w14:textId="5C4850E0" w:rsidR="003E700A" w:rsidRDefault="003E700A" w:rsidP="003E700A">
      <w:pPr>
        <w:pStyle w:val="Heading2"/>
        <w:jc w:val="both"/>
      </w:pPr>
      <w:r>
        <w:t>Inventory</w:t>
      </w:r>
    </w:p>
    <w:p w14:paraId="63723FD7" w14:textId="5054AFCE" w:rsidR="003E700A" w:rsidRDefault="003E700A" w:rsidP="003E700A">
      <w:pPr>
        <w:jc w:val="both"/>
      </w:pPr>
      <w:r>
        <w:t xml:space="preserve">In order to remove a vehicle or component </w:t>
      </w:r>
      <w:r w:rsidR="00691808">
        <w:t>from</w:t>
      </w:r>
      <w:r>
        <w:t xml:space="preserve"> service</w:t>
      </w:r>
      <w:r w:rsidR="00691808">
        <w:t xml:space="preserve"> (whether for repair, upgrade, or end-of-life)</w:t>
      </w:r>
      <w:r>
        <w:t xml:space="preserve"> without risking disclosure, it is first necessary to know what cybersecurity assets reside within the system in question. The process of creating such an inventory can be visualized using the following overview:</w:t>
      </w:r>
    </w:p>
    <w:p w14:paraId="3551B5D5" w14:textId="1AB96F84" w:rsidR="003E700A" w:rsidRDefault="003E700A" w:rsidP="003E700A">
      <w:pPr>
        <w:jc w:val="both"/>
      </w:pPr>
    </w:p>
    <w:p w14:paraId="56F7EB33" w14:textId="257DAD42" w:rsidR="003E700A" w:rsidRDefault="003E700A" w:rsidP="003E700A">
      <w:pPr>
        <w:jc w:val="both"/>
      </w:pPr>
      <w:r>
        <w:rPr>
          <w:noProof/>
        </w:rPr>
        <w:drawing>
          <wp:inline distT="0" distB="0" distL="0" distR="0" wp14:anchorId="616C819C" wp14:editId="2F98068D">
            <wp:extent cx="6144892" cy="3227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144892" cy="3227435"/>
                    </a:xfrm>
                    <a:prstGeom prst="rect">
                      <a:avLst/>
                    </a:prstGeom>
                  </pic:spPr>
                </pic:pic>
              </a:graphicData>
            </a:graphic>
          </wp:inline>
        </w:drawing>
      </w:r>
    </w:p>
    <w:p w14:paraId="1D492BAD" w14:textId="70CDC7EA" w:rsidR="003E700A" w:rsidRDefault="003E700A" w:rsidP="003E700A">
      <w:pPr>
        <w:jc w:val="both"/>
      </w:pPr>
    </w:p>
    <w:p w14:paraId="1118CDA7" w14:textId="77777777" w:rsidR="003E700A" w:rsidRDefault="003E700A">
      <w:pPr>
        <w:rPr>
          <w:color w:val="434343"/>
          <w:sz w:val="28"/>
          <w:szCs w:val="28"/>
        </w:rPr>
      </w:pPr>
      <w:r>
        <w:br w:type="page"/>
      </w:r>
    </w:p>
    <w:p w14:paraId="297058FE" w14:textId="26CB2E7C" w:rsidR="003E700A" w:rsidRDefault="003E700A" w:rsidP="003E700A">
      <w:pPr>
        <w:pStyle w:val="Heading3"/>
      </w:pPr>
      <w:r>
        <w:lastRenderedPageBreak/>
        <w:t>Cybersecurity Asset Identification</w:t>
      </w:r>
    </w:p>
    <w:tbl>
      <w:tblPr>
        <w:tblW w:w="5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870"/>
      </w:tblGrid>
      <w:tr w:rsidR="003E700A" w14:paraId="367C8B86" w14:textId="77777777" w:rsidTr="003E700A">
        <w:tc>
          <w:tcPr>
            <w:tcW w:w="1520" w:type="dxa"/>
            <w:shd w:val="clear" w:color="auto" w:fill="auto"/>
            <w:tcMar>
              <w:top w:w="100" w:type="dxa"/>
              <w:left w:w="100" w:type="dxa"/>
              <w:bottom w:w="100" w:type="dxa"/>
              <w:right w:w="100" w:type="dxa"/>
            </w:tcMar>
            <w:vAlign w:val="center"/>
          </w:tcPr>
          <w:p w14:paraId="5612CA36" w14:textId="77777777" w:rsidR="003E700A" w:rsidRPr="003263B9" w:rsidRDefault="003E700A" w:rsidP="000D2133">
            <w:pPr>
              <w:widowControl w:val="0"/>
              <w:spacing w:line="240" w:lineRule="auto"/>
              <w:jc w:val="right"/>
              <w:rPr>
                <w:b/>
                <w:bCs/>
              </w:rPr>
            </w:pPr>
            <w:r w:rsidRPr="003263B9">
              <w:rPr>
                <w:b/>
                <w:bCs/>
              </w:rPr>
              <w:t>Inputs</w:t>
            </w:r>
          </w:p>
        </w:tc>
        <w:tc>
          <w:tcPr>
            <w:tcW w:w="3870" w:type="dxa"/>
            <w:shd w:val="clear" w:color="auto" w:fill="auto"/>
            <w:tcMar>
              <w:top w:w="100" w:type="dxa"/>
              <w:left w:w="100" w:type="dxa"/>
              <w:bottom w:w="100" w:type="dxa"/>
              <w:right w:w="100" w:type="dxa"/>
            </w:tcMar>
          </w:tcPr>
          <w:p w14:paraId="29E44D77" w14:textId="61FC4516" w:rsidR="003E700A" w:rsidRDefault="003E700A" w:rsidP="000D2133">
            <w:pPr>
              <w:widowControl w:val="0"/>
              <w:spacing w:line="240" w:lineRule="auto"/>
            </w:pPr>
            <w:r>
              <w:t>Component Information</w:t>
            </w:r>
          </w:p>
        </w:tc>
      </w:tr>
      <w:tr w:rsidR="003E700A" w14:paraId="402D36B3" w14:textId="77777777" w:rsidTr="003E700A">
        <w:tc>
          <w:tcPr>
            <w:tcW w:w="1520" w:type="dxa"/>
            <w:shd w:val="clear" w:color="auto" w:fill="auto"/>
            <w:tcMar>
              <w:top w:w="100" w:type="dxa"/>
              <w:left w:w="100" w:type="dxa"/>
              <w:bottom w:w="100" w:type="dxa"/>
              <w:right w:w="100" w:type="dxa"/>
            </w:tcMar>
            <w:vAlign w:val="center"/>
          </w:tcPr>
          <w:p w14:paraId="63015D7B" w14:textId="77777777" w:rsidR="003E700A" w:rsidRPr="003263B9" w:rsidRDefault="003E700A" w:rsidP="000D2133">
            <w:pPr>
              <w:widowControl w:val="0"/>
              <w:spacing w:line="240" w:lineRule="auto"/>
              <w:jc w:val="right"/>
              <w:rPr>
                <w:b/>
                <w:bCs/>
              </w:rPr>
            </w:pPr>
            <w:r w:rsidRPr="003263B9">
              <w:rPr>
                <w:b/>
                <w:bCs/>
              </w:rPr>
              <w:t>Outputs</w:t>
            </w:r>
          </w:p>
        </w:tc>
        <w:tc>
          <w:tcPr>
            <w:tcW w:w="3870" w:type="dxa"/>
            <w:shd w:val="clear" w:color="auto" w:fill="auto"/>
            <w:tcMar>
              <w:top w:w="100" w:type="dxa"/>
              <w:left w:w="100" w:type="dxa"/>
              <w:bottom w:w="100" w:type="dxa"/>
              <w:right w:w="100" w:type="dxa"/>
            </w:tcMar>
          </w:tcPr>
          <w:p w14:paraId="466C34AA" w14:textId="11E34826" w:rsidR="003E700A" w:rsidRDefault="003E700A" w:rsidP="000D2133">
            <w:pPr>
              <w:widowControl w:val="0"/>
              <w:spacing w:line="240" w:lineRule="auto"/>
            </w:pPr>
            <w:r>
              <w:t>Component Cybersecurity Asset List</w:t>
            </w:r>
          </w:p>
        </w:tc>
      </w:tr>
      <w:tr w:rsidR="003E700A" w14:paraId="42061728" w14:textId="77777777" w:rsidTr="003E700A">
        <w:tc>
          <w:tcPr>
            <w:tcW w:w="1520" w:type="dxa"/>
            <w:shd w:val="clear" w:color="auto" w:fill="auto"/>
            <w:tcMar>
              <w:top w:w="100" w:type="dxa"/>
              <w:left w:w="100" w:type="dxa"/>
              <w:bottom w:w="100" w:type="dxa"/>
              <w:right w:w="100" w:type="dxa"/>
            </w:tcMar>
            <w:vAlign w:val="center"/>
          </w:tcPr>
          <w:p w14:paraId="21983BCF" w14:textId="77777777" w:rsidR="003E700A" w:rsidRPr="003263B9" w:rsidRDefault="003E700A" w:rsidP="000D2133">
            <w:pPr>
              <w:widowControl w:val="0"/>
              <w:spacing w:line="240" w:lineRule="auto"/>
              <w:jc w:val="right"/>
              <w:rPr>
                <w:b/>
                <w:bCs/>
              </w:rPr>
            </w:pPr>
            <w:r w:rsidRPr="003263B9">
              <w:rPr>
                <w:b/>
                <w:bCs/>
              </w:rPr>
              <w:t>Participants</w:t>
            </w:r>
          </w:p>
        </w:tc>
        <w:tc>
          <w:tcPr>
            <w:tcW w:w="3870" w:type="dxa"/>
            <w:shd w:val="clear" w:color="auto" w:fill="auto"/>
            <w:tcMar>
              <w:top w:w="100" w:type="dxa"/>
              <w:left w:w="100" w:type="dxa"/>
              <w:bottom w:w="100" w:type="dxa"/>
              <w:right w:w="100" w:type="dxa"/>
            </w:tcMar>
          </w:tcPr>
          <w:p w14:paraId="683B3250" w14:textId="1C1711F2" w:rsidR="003E700A" w:rsidRDefault="003E700A" w:rsidP="000D2133">
            <w:pPr>
              <w:widowControl w:val="0"/>
              <w:spacing w:line="240" w:lineRule="auto"/>
            </w:pPr>
            <w:r>
              <w:t>Vendor, Security SME</w:t>
            </w:r>
          </w:p>
        </w:tc>
      </w:tr>
    </w:tbl>
    <w:p w14:paraId="7EB3292D" w14:textId="77777777" w:rsidR="003E700A" w:rsidRDefault="003E700A" w:rsidP="003E700A"/>
    <w:p w14:paraId="3A3FA6C6" w14:textId="77777777" w:rsidR="003E700A" w:rsidRDefault="003E700A" w:rsidP="003E700A">
      <w:pPr>
        <w:jc w:val="center"/>
      </w:pPr>
      <w:r>
        <w:rPr>
          <w:noProof/>
        </w:rPr>
        <w:drawing>
          <wp:inline distT="0" distB="0" distL="0" distR="0" wp14:anchorId="04C6E1DC" wp14:editId="585FFD8C">
            <wp:extent cx="3560885" cy="4387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567677" cy="4395445"/>
                    </a:xfrm>
                    <a:prstGeom prst="rect">
                      <a:avLst/>
                    </a:prstGeom>
                  </pic:spPr>
                </pic:pic>
              </a:graphicData>
            </a:graphic>
          </wp:inline>
        </w:drawing>
      </w:r>
    </w:p>
    <w:p w14:paraId="36EDC47C" w14:textId="77777777" w:rsidR="003E700A" w:rsidRDefault="003E700A" w:rsidP="003E700A"/>
    <w:p w14:paraId="5A97989F" w14:textId="2DE535CC" w:rsidR="003E700A" w:rsidRDefault="002002D1" w:rsidP="003E700A">
      <w:pPr>
        <w:spacing w:after="240"/>
        <w:jc w:val="both"/>
      </w:pPr>
      <w:r>
        <w:t xml:space="preserve">Using the </w:t>
      </w:r>
      <w:r w:rsidRPr="002002D1">
        <w:rPr>
          <w:b/>
          <w:bCs/>
        </w:rPr>
        <w:t>Component Information</w:t>
      </w:r>
      <w:r>
        <w:t>, the vendor and security SME identif</w:t>
      </w:r>
      <w:r w:rsidRPr="002002D1">
        <w:t xml:space="preserve">y </w:t>
      </w:r>
      <w:r>
        <w:t>all cybersecurity-relevant assets within the component</w:t>
      </w:r>
      <w:r w:rsidR="003E700A">
        <w:t xml:space="preserve">. </w:t>
      </w:r>
      <w:r>
        <w:t xml:space="preserve">These are compiled into a </w:t>
      </w:r>
      <w:r>
        <w:rPr>
          <w:b/>
          <w:bCs/>
        </w:rPr>
        <w:t>Component Cybersecurity Asset List</w:t>
      </w:r>
      <w:r w:rsidR="003E700A">
        <w:t>.</w:t>
      </w:r>
      <w:r>
        <w:t xml:space="preserve"> Additional information regarding the component necessary to later identification such as hardware and software versions, component model, etc. is also noted.</w:t>
      </w:r>
    </w:p>
    <w:p w14:paraId="0BE3DB71" w14:textId="77777777" w:rsidR="003E700A" w:rsidRDefault="003E700A">
      <w:pPr>
        <w:rPr>
          <w:color w:val="434343"/>
          <w:sz w:val="28"/>
          <w:szCs w:val="28"/>
        </w:rPr>
      </w:pPr>
      <w:r>
        <w:br w:type="page"/>
      </w:r>
    </w:p>
    <w:p w14:paraId="004AA67C" w14:textId="60B1F9DB" w:rsidR="003E700A" w:rsidRDefault="003E700A" w:rsidP="003E700A">
      <w:pPr>
        <w:pStyle w:val="Heading3"/>
      </w:pPr>
      <w:r>
        <w:lastRenderedPageBreak/>
        <w:t>RMA-necessary Asset Identification</w:t>
      </w:r>
    </w:p>
    <w:tbl>
      <w:tblPr>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950"/>
      </w:tblGrid>
      <w:tr w:rsidR="003E700A" w14:paraId="1B912E12" w14:textId="77777777" w:rsidTr="002002D1">
        <w:tc>
          <w:tcPr>
            <w:tcW w:w="1520" w:type="dxa"/>
            <w:shd w:val="clear" w:color="auto" w:fill="auto"/>
            <w:tcMar>
              <w:top w:w="100" w:type="dxa"/>
              <w:left w:w="100" w:type="dxa"/>
              <w:bottom w:w="100" w:type="dxa"/>
              <w:right w:w="100" w:type="dxa"/>
            </w:tcMar>
            <w:vAlign w:val="center"/>
          </w:tcPr>
          <w:p w14:paraId="4AE180DE" w14:textId="77777777" w:rsidR="003E700A" w:rsidRPr="003263B9" w:rsidRDefault="003E700A" w:rsidP="000D2133">
            <w:pPr>
              <w:widowControl w:val="0"/>
              <w:spacing w:line="240" w:lineRule="auto"/>
              <w:jc w:val="right"/>
              <w:rPr>
                <w:b/>
                <w:bCs/>
              </w:rPr>
            </w:pPr>
            <w:r w:rsidRPr="003263B9">
              <w:rPr>
                <w:b/>
                <w:bCs/>
              </w:rPr>
              <w:t>Inputs</w:t>
            </w:r>
          </w:p>
        </w:tc>
        <w:tc>
          <w:tcPr>
            <w:tcW w:w="4950" w:type="dxa"/>
            <w:shd w:val="clear" w:color="auto" w:fill="auto"/>
            <w:tcMar>
              <w:top w:w="100" w:type="dxa"/>
              <w:left w:w="100" w:type="dxa"/>
              <w:bottom w:w="100" w:type="dxa"/>
              <w:right w:w="100" w:type="dxa"/>
            </w:tcMar>
          </w:tcPr>
          <w:p w14:paraId="4819A9BA" w14:textId="293387FB" w:rsidR="003E700A" w:rsidRDefault="003E700A" w:rsidP="000D2133">
            <w:pPr>
              <w:widowControl w:val="0"/>
              <w:spacing w:line="240" w:lineRule="auto"/>
            </w:pPr>
            <w:r>
              <w:t>Component Cybersecurity Asset List</w:t>
            </w:r>
          </w:p>
        </w:tc>
      </w:tr>
      <w:tr w:rsidR="003E700A" w14:paraId="6D9D5607" w14:textId="77777777" w:rsidTr="002002D1">
        <w:tc>
          <w:tcPr>
            <w:tcW w:w="1520" w:type="dxa"/>
            <w:shd w:val="clear" w:color="auto" w:fill="auto"/>
            <w:tcMar>
              <w:top w:w="100" w:type="dxa"/>
              <w:left w:w="100" w:type="dxa"/>
              <w:bottom w:w="100" w:type="dxa"/>
              <w:right w:w="100" w:type="dxa"/>
            </w:tcMar>
            <w:vAlign w:val="center"/>
          </w:tcPr>
          <w:p w14:paraId="2BA138CA" w14:textId="77777777" w:rsidR="003E700A" w:rsidRPr="003263B9" w:rsidRDefault="003E700A" w:rsidP="000D2133">
            <w:pPr>
              <w:widowControl w:val="0"/>
              <w:spacing w:line="240" w:lineRule="auto"/>
              <w:jc w:val="right"/>
              <w:rPr>
                <w:b/>
                <w:bCs/>
              </w:rPr>
            </w:pPr>
            <w:r w:rsidRPr="003263B9">
              <w:rPr>
                <w:b/>
                <w:bCs/>
              </w:rPr>
              <w:t>Outputs</w:t>
            </w:r>
          </w:p>
        </w:tc>
        <w:tc>
          <w:tcPr>
            <w:tcW w:w="4950" w:type="dxa"/>
            <w:shd w:val="clear" w:color="auto" w:fill="auto"/>
            <w:tcMar>
              <w:top w:w="100" w:type="dxa"/>
              <w:left w:w="100" w:type="dxa"/>
              <w:bottom w:w="100" w:type="dxa"/>
              <w:right w:w="100" w:type="dxa"/>
            </w:tcMar>
          </w:tcPr>
          <w:p w14:paraId="630C6576" w14:textId="3AB46AE8" w:rsidR="003E700A" w:rsidRDefault="002002D1" w:rsidP="003E700A">
            <w:pPr>
              <w:widowControl w:val="0"/>
              <w:spacing w:line="240" w:lineRule="auto"/>
            </w:pPr>
            <w:r>
              <w:t>Annotated Component Cybersecurity Asset List</w:t>
            </w:r>
          </w:p>
        </w:tc>
      </w:tr>
      <w:tr w:rsidR="003E700A" w14:paraId="3A3230C8" w14:textId="77777777" w:rsidTr="002002D1">
        <w:tc>
          <w:tcPr>
            <w:tcW w:w="1520" w:type="dxa"/>
            <w:shd w:val="clear" w:color="auto" w:fill="auto"/>
            <w:tcMar>
              <w:top w:w="100" w:type="dxa"/>
              <w:left w:w="100" w:type="dxa"/>
              <w:bottom w:w="100" w:type="dxa"/>
              <w:right w:w="100" w:type="dxa"/>
            </w:tcMar>
            <w:vAlign w:val="center"/>
          </w:tcPr>
          <w:p w14:paraId="47FA358A" w14:textId="77777777" w:rsidR="003E700A" w:rsidRPr="003263B9" w:rsidRDefault="003E700A" w:rsidP="000D2133">
            <w:pPr>
              <w:widowControl w:val="0"/>
              <w:spacing w:line="240" w:lineRule="auto"/>
              <w:jc w:val="right"/>
              <w:rPr>
                <w:b/>
                <w:bCs/>
              </w:rPr>
            </w:pPr>
            <w:r w:rsidRPr="003263B9">
              <w:rPr>
                <w:b/>
                <w:bCs/>
              </w:rPr>
              <w:t>Participants</w:t>
            </w:r>
          </w:p>
        </w:tc>
        <w:tc>
          <w:tcPr>
            <w:tcW w:w="4950" w:type="dxa"/>
            <w:shd w:val="clear" w:color="auto" w:fill="auto"/>
            <w:tcMar>
              <w:top w:w="100" w:type="dxa"/>
              <w:left w:w="100" w:type="dxa"/>
              <w:bottom w:w="100" w:type="dxa"/>
              <w:right w:w="100" w:type="dxa"/>
            </w:tcMar>
          </w:tcPr>
          <w:p w14:paraId="64E4D7A8" w14:textId="77777777" w:rsidR="003E700A" w:rsidRDefault="003E700A" w:rsidP="000D2133">
            <w:pPr>
              <w:widowControl w:val="0"/>
              <w:spacing w:line="240" w:lineRule="auto"/>
            </w:pPr>
            <w:r>
              <w:t>Vendor, Security SME</w:t>
            </w:r>
          </w:p>
        </w:tc>
      </w:tr>
    </w:tbl>
    <w:p w14:paraId="32863FF3" w14:textId="77777777" w:rsidR="003E700A" w:rsidRDefault="003E700A" w:rsidP="003E700A"/>
    <w:p w14:paraId="63501834" w14:textId="77777777" w:rsidR="003E700A" w:rsidRDefault="003E700A" w:rsidP="003E700A">
      <w:pPr>
        <w:jc w:val="center"/>
      </w:pPr>
      <w:r>
        <w:rPr>
          <w:noProof/>
        </w:rPr>
        <w:drawing>
          <wp:inline distT="0" distB="0" distL="0" distR="0" wp14:anchorId="7AB516D5" wp14:editId="01B932AE">
            <wp:extent cx="3234326" cy="4392397"/>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234326" cy="4392397"/>
                    </a:xfrm>
                    <a:prstGeom prst="rect">
                      <a:avLst/>
                    </a:prstGeom>
                  </pic:spPr>
                </pic:pic>
              </a:graphicData>
            </a:graphic>
          </wp:inline>
        </w:drawing>
      </w:r>
    </w:p>
    <w:p w14:paraId="12BD754F" w14:textId="77777777" w:rsidR="003E700A" w:rsidRDefault="003E700A" w:rsidP="003E700A"/>
    <w:p w14:paraId="094A1931" w14:textId="3E074F6F" w:rsidR="003E700A" w:rsidRDefault="002002D1" w:rsidP="003E700A">
      <w:pPr>
        <w:spacing w:after="240"/>
        <w:jc w:val="both"/>
      </w:pPr>
      <w:r>
        <w:t xml:space="preserve">Using the </w:t>
      </w:r>
      <w:r w:rsidRPr="002002D1">
        <w:rPr>
          <w:b/>
          <w:bCs/>
        </w:rPr>
        <w:t>Component Cybersecurity Asset List</w:t>
      </w:r>
      <w:r>
        <w:t xml:space="preserve">, the vendor and Security SME identify all assets needed by the vendor in order to diagnose issues which may occur in the component. This information is used to annotate asset list yielding an </w:t>
      </w:r>
      <w:r w:rsidRPr="002002D1">
        <w:rPr>
          <w:b/>
          <w:bCs/>
        </w:rPr>
        <w:t>Annotated Component Cybersecurity Asset List</w:t>
      </w:r>
      <w:r>
        <w:t>. This annotation may be as simple as identification or may include characteristics of the asset needed to perform diagnostics (unencrypted data, null credentials, etc.).</w:t>
      </w:r>
    </w:p>
    <w:p w14:paraId="65E6C2DA" w14:textId="77777777" w:rsidR="002002D1" w:rsidRDefault="002002D1">
      <w:pPr>
        <w:rPr>
          <w:color w:val="434343"/>
          <w:sz w:val="28"/>
          <w:szCs w:val="28"/>
        </w:rPr>
      </w:pPr>
      <w:r>
        <w:br w:type="page"/>
      </w:r>
    </w:p>
    <w:p w14:paraId="16B33ECC" w14:textId="305FD286" w:rsidR="002002D1" w:rsidRDefault="002002D1" w:rsidP="002002D1">
      <w:pPr>
        <w:pStyle w:val="Heading3"/>
      </w:pPr>
      <w:r>
        <w:lastRenderedPageBreak/>
        <w:t>Component Asset List Ingest</w:t>
      </w:r>
    </w:p>
    <w:tbl>
      <w:tblPr>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950"/>
      </w:tblGrid>
      <w:tr w:rsidR="002002D1" w14:paraId="2B17F760" w14:textId="77777777" w:rsidTr="002002D1">
        <w:tc>
          <w:tcPr>
            <w:tcW w:w="1520" w:type="dxa"/>
            <w:shd w:val="clear" w:color="auto" w:fill="auto"/>
            <w:tcMar>
              <w:top w:w="100" w:type="dxa"/>
              <w:left w:w="100" w:type="dxa"/>
              <w:bottom w:w="100" w:type="dxa"/>
              <w:right w:w="100" w:type="dxa"/>
            </w:tcMar>
            <w:vAlign w:val="center"/>
          </w:tcPr>
          <w:p w14:paraId="757CDC37" w14:textId="77777777" w:rsidR="002002D1" w:rsidRPr="003263B9" w:rsidRDefault="002002D1" w:rsidP="000D2133">
            <w:pPr>
              <w:widowControl w:val="0"/>
              <w:spacing w:line="240" w:lineRule="auto"/>
              <w:jc w:val="right"/>
              <w:rPr>
                <w:b/>
                <w:bCs/>
              </w:rPr>
            </w:pPr>
            <w:r w:rsidRPr="003263B9">
              <w:rPr>
                <w:b/>
                <w:bCs/>
              </w:rPr>
              <w:t>Inputs</w:t>
            </w:r>
          </w:p>
        </w:tc>
        <w:tc>
          <w:tcPr>
            <w:tcW w:w="4950" w:type="dxa"/>
            <w:shd w:val="clear" w:color="auto" w:fill="auto"/>
            <w:tcMar>
              <w:top w:w="100" w:type="dxa"/>
              <w:left w:w="100" w:type="dxa"/>
              <w:bottom w:w="100" w:type="dxa"/>
              <w:right w:w="100" w:type="dxa"/>
            </w:tcMar>
          </w:tcPr>
          <w:p w14:paraId="52192E74" w14:textId="24151732" w:rsidR="002002D1" w:rsidRDefault="002002D1" w:rsidP="000D2133">
            <w:pPr>
              <w:widowControl w:val="0"/>
              <w:spacing w:line="240" w:lineRule="auto"/>
            </w:pPr>
            <w:r>
              <w:t>Annotated Component Cybersecurity Asset List</w:t>
            </w:r>
          </w:p>
        </w:tc>
      </w:tr>
      <w:tr w:rsidR="002002D1" w14:paraId="06089C1B" w14:textId="77777777" w:rsidTr="002002D1">
        <w:tc>
          <w:tcPr>
            <w:tcW w:w="1520" w:type="dxa"/>
            <w:shd w:val="clear" w:color="auto" w:fill="auto"/>
            <w:tcMar>
              <w:top w:w="100" w:type="dxa"/>
              <w:left w:w="100" w:type="dxa"/>
              <w:bottom w:w="100" w:type="dxa"/>
              <w:right w:w="100" w:type="dxa"/>
            </w:tcMar>
            <w:vAlign w:val="center"/>
          </w:tcPr>
          <w:p w14:paraId="5179F28B" w14:textId="77777777" w:rsidR="002002D1" w:rsidRPr="003263B9" w:rsidRDefault="002002D1" w:rsidP="000D2133">
            <w:pPr>
              <w:widowControl w:val="0"/>
              <w:spacing w:line="240" w:lineRule="auto"/>
              <w:jc w:val="right"/>
              <w:rPr>
                <w:b/>
                <w:bCs/>
              </w:rPr>
            </w:pPr>
            <w:r w:rsidRPr="003263B9">
              <w:rPr>
                <w:b/>
                <w:bCs/>
              </w:rPr>
              <w:t>Outputs</w:t>
            </w:r>
          </w:p>
        </w:tc>
        <w:tc>
          <w:tcPr>
            <w:tcW w:w="4950" w:type="dxa"/>
            <w:shd w:val="clear" w:color="auto" w:fill="auto"/>
            <w:tcMar>
              <w:top w:w="100" w:type="dxa"/>
              <w:left w:w="100" w:type="dxa"/>
              <w:bottom w:w="100" w:type="dxa"/>
              <w:right w:w="100" w:type="dxa"/>
            </w:tcMar>
          </w:tcPr>
          <w:p w14:paraId="4E5AA213" w14:textId="77777777" w:rsidR="002002D1" w:rsidRDefault="002002D1" w:rsidP="000D2133">
            <w:pPr>
              <w:widowControl w:val="0"/>
              <w:spacing w:line="240" w:lineRule="auto"/>
            </w:pPr>
            <w:r>
              <w:t>Cybersecurity Asset Database</w:t>
            </w:r>
            <w:r>
              <w:br/>
              <w:t>Component Cybersecurity Asset Report</w:t>
            </w:r>
          </w:p>
        </w:tc>
      </w:tr>
      <w:tr w:rsidR="002002D1" w14:paraId="2F02A4E1" w14:textId="77777777" w:rsidTr="002002D1">
        <w:tc>
          <w:tcPr>
            <w:tcW w:w="1520" w:type="dxa"/>
            <w:shd w:val="clear" w:color="auto" w:fill="auto"/>
            <w:tcMar>
              <w:top w:w="100" w:type="dxa"/>
              <w:left w:w="100" w:type="dxa"/>
              <w:bottom w:w="100" w:type="dxa"/>
              <w:right w:w="100" w:type="dxa"/>
            </w:tcMar>
            <w:vAlign w:val="center"/>
          </w:tcPr>
          <w:p w14:paraId="13596C30" w14:textId="77777777" w:rsidR="002002D1" w:rsidRPr="003263B9" w:rsidRDefault="002002D1" w:rsidP="000D2133">
            <w:pPr>
              <w:widowControl w:val="0"/>
              <w:spacing w:line="240" w:lineRule="auto"/>
              <w:jc w:val="right"/>
              <w:rPr>
                <w:b/>
                <w:bCs/>
              </w:rPr>
            </w:pPr>
            <w:r w:rsidRPr="003263B9">
              <w:rPr>
                <w:b/>
                <w:bCs/>
              </w:rPr>
              <w:t>Participants</w:t>
            </w:r>
          </w:p>
        </w:tc>
        <w:tc>
          <w:tcPr>
            <w:tcW w:w="4950" w:type="dxa"/>
            <w:shd w:val="clear" w:color="auto" w:fill="auto"/>
            <w:tcMar>
              <w:top w:w="100" w:type="dxa"/>
              <w:left w:w="100" w:type="dxa"/>
              <w:bottom w:w="100" w:type="dxa"/>
              <w:right w:w="100" w:type="dxa"/>
            </w:tcMar>
          </w:tcPr>
          <w:p w14:paraId="68981FA3" w14:textId="6B617921" w:rsidR="002002D1" w:rsidRDefault="002002D1" w:rsidP="000D2133">
            <w:pPr>
              <w:widowControl w:val="0"/>
              <w:spacing w:line="240" w:lineRule="auto"/>
            </w:pPr>
            <w:r>
              <w:t>Security SME</w:t>
            </w:r>
          </w:p>
        </w:tc>
      </w:tr>
    </w:tbl>
    <w:p w14:paraId="137C1E76" w14:textId="77777777" w:rsidR="002002D1" w:rsidRDefault="002002D1" w:rsidP="002002D1"/>
    <w:p w14:paraId="1BA95CBA" w14:textId="77777777" w:rsidR="002002D1" w:rsidRDefault="002002D1" w:rsidP="002002D1">
      <w:pPr>
        <w:jc w:val="center"/>
      </w:pPr>
      <w:r>
        <w:rPr>
          <w:noProof/>
        </w:rPr>
        <w:drawing>
          <wp:inline distT="0" distB="0" distL="0" distR="0" wp14:anchorId="629D9C78" wp14:editId="58CE317B">
            <wp:extent cx="3235306" cy="4393727"/>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235306" cy="4393727"/>
                    </a:xfrm>
                    <a:prstGeom prst="rect">
                      <a:avLst/>
                    </a:prstGeom>
                  </pic:spPr>
                </pic:pic>
              </a:graphicData>
            </a:graphic>
          </wp:inline>
        </w:drawing>
      </w:r>
    </w:p>
    <w:p w14:paraId="4B570677" w14:textId="77777777" w:rsidR="002002D1" w:rsidRDefault="002002D1" w:rsidP="002002D1"/>
    <w:p w14:paraId="649FD43A" w14:textId="58B08AD0" w:rsidR="002002D1" w:rsidRDefault="002002D1" w:rsidP="002002D1">
      <w:pPr>
        <w:spacing w:after="240"/>
        <w:jc w:val="both"/>
      </w:pPr>
      <w:r>
        <w:t xml:space="preserve">Using the </w:t>
      </w:r>
      <w:r>
        <w:rPr>
          <w:b/>
          <w:bCs/>
        </w:rPr>
        <w:t>Annotated C</w:t>
      </w:r>
      <w:r w:rsidRPr="002002D1">
        <w:rPr>
          <w:b/>
          <w:bCs/>
        </w:rPr>
        <w:t>omponent Cybersecurity Asset List</w:t>
      </w:r>
      <w:r>
        <w:t xml:space="preserve">, the Security SME ingests data creating appropriate entries in the </w:t>
      </w:r>
      <w:r>
        <w:rPr>
          <w:b/>
          <w:bCs/>
        </w:rPr>
        <w:t>Cybersecurity Asset Database</w:t>
      </w:r>
      <w:r>
        <w:t xml:space="preserve">. A </w:t>
      </w:r>
      <w:r>
        <w:rPr>
          <w:b/>
          <w:bCs/>
        </w:rPr>
        <w:t>Component Cybersecurity Asset Report</w:t>
      </w:r>
      <w:r>
        <w:t xml:space="preserve"> is also generated.</w:t>
      </w:r>
    </w:p>
    <w:p w14:paraId="1F067B68" w14:textId="77777777" w:rsidR="003E700A" w:rsidRDefault="003E700A" w:rsidP="003E700A">
      <w:pPr>
        <w:jc w:val="both"/>
      </w:pPr>
    </w:p>
    <w:p w14:paraId="4023A4E4" w14:textId="77777777" w:rsidR="003E700A" w:rsidRDefault="003E700A">
      <w:pPr>
        <w:rPr>
          <w:sz w:val="32"/>
          <w:szCs w:val="32"/>
        </w:rPr>
      </w:pPr>
      <w:r>
        <w:br w:type="page"/>
      </w:r>
    </w:p>
    <w:p w14:paraId="68892D67" w14:textId="7F9632B1" w:rsidR="003E700A" w:rsidRDefault="003E700A" w:rsidP="003E700A">
      <w:pPr>
        <w:pStyle w:val="Heading2"/>
        <w:jc w:val="both"/>
      </w:pPr>
      <w:r>
        <w:lastRenderedPageBreak/>
        <w:t>Removal from Service</w:t>
      </w:r>
    </w:p>
    <w:p w14:paraId="6E7DBF4C" w14:textId="54CA0A66" w:rsidR="000057D9" w:rsidRPr="000057D9" w:rsidRDefault="000057D9" w:rsidP="003E700A">
      <w:pPr>
        <w:jc w:val="both"/>
      </w:pPr>
      <w:r>
        <w:t>As noted in the overview there are two decommissioning mod</w:t>
      </w:r>
      <w:r w:rsidR="003E700A">
        <w:t>alities</w:t>
      </w:r>
      <w:r>
        <w:t xml:space="preserve"> (RMA and </w:t>
      </w:r>
      <w:r w:rsidR="003E700A">
        <w:t>EoL</w:t>
      </w:r>
      <w:r>
        <w:t>). These will be addressed in turn.</w:t>
      </w:r>
    </w:p>
    <w:p w14:paraId="4D27E66E" w14:textId="6ED79D14" w:rsidR="003E700A" w:rsidRDefault="000057D9" w:rsidP="003E700A">
      <w:pPr>
        <w:pStyle w:val="Heading3"/>
      </w:pPr>
      <w:bookmarkStart w:id="7" w:name="_y6m6ss386zg" w:colFirst="0" w:colLast="0"/>
      <w:bookmarkEnd w:id="7"/>
      <w:r>
        <w:t>RMA</w:t>
      </w:r>
    </w:p>
    <w:tbl>
      <w:tblPr>
        <w:tblW w:w="6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590"/>
      </w:tblGrid>
      <w:tr w:rsidR="003E700A" w14:paraId="18A4ABC0" w14:textId="77777777" w:rsidTr="003E700A">
        <w:tc>
          <w:tcPr>
            <w:tcW w:w="1520" w:type="dxa"/>
            <w:shd w:val="clear" w:color="auto" w:fill="auto"/>
            <w:tcMar>
              <w:top w:w="100" w:type="dxa"/>
              <w:left w:w="100" w:type="dxa"/>
              <w:bottom w:w="100" w:type="dxa"/>
              <w:right w:w="100" w:type="dxa"/>
            </w:tcMar>
            <w:vAlign w:val="center"/>
          </w:tcPr>
          <w:p w14:paraId="0EBFDBA3" w14:textId="77777777" w:rsidR="003E700A" w:rsidRPr="003263B9" w:rsidRDefault="003E700A" w:rsidP="000D2133">
            <w:pPr>
              <w:widowControl w:val="0"/>
              <w:spacing w:line="240" w:lineRule="auto"/>
              <w:jc w:val="right"/>
              <w:rPr>
                <w:b/>
                <w:bCs/>
              </w:rPr>
            </w:pPr>
            <w:r w:rsidRPr="003263B9">
              <w:rPr>
                <w:b/>
                <w:bCs/>
              </w:rPr>
              <w:t>Inputs</w:t>
            </w:r>
          </w:p>
        </w:tc>
        <w:tc>
          <w:tcPr>
            <w:tcW w:w="4590" w:type="dxa"/>
            <w:shd w:val="clear" w:color="auto" w:fill="auto"/>
            <w:tcMar>
              <w:top w:w="100" w:type="dxa"/>
              <w:left w:w="100" w:type="dxa"/>
              <w:bottom w:w="100" w:type="dxa"/>
              <w:right w:w="100" w:type="dxa"/>
            </w:tcMar>
          </w:tcPr>
          <w:p w14:paraId="55114EC8" w14:textId="77777777" w:rsidR="003E700A" w:rsidRDefault="003E700A" w:rsidP="000D2133">
            <w:pPr>
              <w:widowControl w:val="0"/>
              <w:spacing w:line="240" w:lineRule="auto"/>
            </w:pPr>
            <w:r>
              <w:t>Cybersecurity Asset Database</w:t>
            </w:r>
          </w:p>
          <w:p w14:paraId="7159AF3D" w14:textId="56F04788" w:rsidR="003E700A" w:rsidRDefault="003E700A" w:rsidP="000D2133">
            <w:pPr>
              <w:widowControl w:val="0"/>
              <w:spacing w:line="240" w:lineRule="auto"/>
            </w:pPr>
            <w:r>
              <w:t>Component</w:t>
            </w:r>
          </w:p>
        </w:tc>
      </w:tr>
      <w:tr w:rsidR="003E700A" w14:paraId="7F17E8FC" w14:textId="77777777" w:rsidTr="003E700A">
        <w:tc>
          <w:tcPr>
            <w:tcW w:w="1520" w:type="dxa"/>
            <w:shd w:val="clear" w:color="auto" w:fill="auto"/>
            <w:tcMar>
              <w:top w:w="100" w:type="dxa"/>
              <w:left w:w="100" w:type="dxa"/>
              <w:bottom w:w="100" w:type="dxa"/>
              <w:right w:w="100" w:type="dxa"/>
            </w:tcMar>
            <w:vAlign w:val="center"/>
          </w:tcPr>
          <w:p w14:paraId="005DB082" w14:textId="77777777" w:rsidR="003E700A" w:rsidRPr="003263B9" w:rsidRDefault="003E700A" w:rsidP="000D2133">
            <w:pPr>
              <w:widowControl w:val="0"/>
              <w:spacing w:line="240" w:lineRule="auto"/>
              <w:jc w:val="right"/>
              <w:rPr>
                <w:b/>
                <w:bCs/>
              </w:rPr>
            </w:pPr>
            <w:r w:rsidRPr="003263B9">
              <w:rPr>
                <w:b/>
                <w:bCs/>
              </w:rPr>
              <w:t>Outputs</w:t>
            </w:r>
          </w:p>
        </w:tc>
        <w:tc>
          <w:tcPr>
            <w:tcW w:w="4590" w:type="dxa"/>
            <w:shd w:val="clear" w:color="auto" w:fill="auto"/>
            <w:tcMar>
              <w:top w:w="100" w:type="dxa"/>
              <w:left w:w="100" w:type="dxa"/>
              <w:bottom w:w="100" w:type="dxa"/>
              <w:right w:w="100" w:type="dxa"/>
            </w:tcMar>
          </w:tcPr>
          <w:p w14:paraId="254910D8" w14:textId="5D07DDEF" w:rsidR="003E700A" w:rsidRDefault="003E700A" w:rsidP="000D2133">
            <w:pPr>
              <w:widowControl w:val="0"/>
              <w:spacing w:line="240" w:lineRule="auto"/>
            </w:pPr>
            <w:r>
              <w:t>RMA-ready Component</w:t>
            </w:r>
            <w:r>
              <w:br/>
              <w:t>non-RMA-necessary Asset Removal Report</w:t>
            </w:r>
          </w:p>
        </w:tc>
      </w:tr>
      <w:tr w:rsidR="003E700A" w14:paraId="77749364" w14:textId="77777777" w:rsidTr="003E700A">
        <w:tc>
          <w:tcPr>
            <w:tcW w:w="1520" w:type="dxa"/>
            <w:shd w:val="clear" w:color="auto" w:fill="auto"/>
            <w:tcMar>
              <w:top w:w="100" w:type="dxa"/>
              <w:left w:w="100" w:type="dxa"/>
              <w:bottom w:w="100" w:type="dxa"/>
              <w:right w:w="100" w:type="dxa"/>
            </w:tcMar>
            <w:vAlign w:val="center"/>
          </w:tcPr>
          <w:p w14:paraId="535214D1" w14:textId="77777777" w:rsidR="003E700A" w:rsidRPr="003263B9" w:rsidRDefault="003E700A" w:rsidP="000D2133">
            <w:pPr>
              <w:widowControl w:val="0"/>
              <w:spacing w:line="240" w:lineRule="auto"/>
              <w:jc w:val="right"/>
              <w:rPr>
                <w:b/>
                <w:bCs/>
              </w:rPr>
            </w:pPr>
            <w:r w:rsidRPr="003263B9">
              <w:rPr>
                <w:b/>
                <w:bCs/>
              </w:rPr>
              <w:t>Participants</w:t>
            </w:r>
          </w:p>
        </w:tc>
        <w:tc>
          <w:tcPr>
            <w:tcW w:w="4590" w:type="dxa"/>
            <w:shd w:val="clear" w:color="auto" w:fill="auto"/>
            <w:tcMar>
              <w:top w:w="100" w:type="dxa"/>
              <w:left w:w="100" w:type="dxa"/>
              <w:bottom w:w="100" w:type="dxa"/>
              <w:right w:w="100" w:type="dxa"/>
            </w:tcMar>
          </w:tcPr>
          <w:p w14:paraId="0EF566C7" w14:textId="1AF7DC26" w:rsidR="003E700A" w:rsidRDefault="003E700A" w:rsidP="000D2133">
            <w:pPr>
              <w:widowControl w:val="0"/>
              <w:spacing w:line="240" w:lineRule="auto"/>
            </w:pPr>
            <w:r>
              <w:t>Operations Engineer</w:t>
            </w:r>
          </w:p>
        </w:tc>
      </w:tr>
    </w:tbl>
    <w:p w14:paraId="4E475EE2" w14:textId="77777777" w:rsidR="003E700A" w:rsidRDefault="003E700A" w:rsidP="003E700A"/>
    <w:p w14:paraId="230FF22C" w14:textId="77777777" w:rsidR="003E700A" w:rsidRDefault="003E700A" w:rsidP="003E700A">
      <w:pPr>
        <w:jc w:val="center"/>
      </w:pPr>
      <w:r>
        <w:rPr>
          <w:noProof/>
        </w:rPr>
        <w:drawing>
          <wp:inline distT="0" distB="0" distL="0" distR="0" wp14:anchorId="2E376A94" wp14:editId="6B2BAFDA">
            <wp:extent cx="4314682" cy="439749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314682" cy="4397497"/>
                    </a:xfrm>
                    <a:prstGeom prst="rect">
                      <a:avLst/>
                    </a:prstGeom>
                  </pic:spPr>
                </pic:pic>
              </a:graphicData>
            </a:graphic>
          </wp:inline>
        </w:drawing>
      </w:r>
    </w:p>
    <w:p w14:paraId="35CA554E" w14:textId="77777777" w:rsidR="003E700A" w:rsidRDefault="003E700A" w:rsidP="003E700A"/>
    <w:p w14:paraId="5DF7C01B" w14:textId="7FD6063A" w:rsidR="00F4648C" w:rsidRDefault="00F4648C" w:rsidP="00F4648C">
      <w:pPr>
        <w:spacing w:after="240"/>
        <w:jc w:val="both"/>
      </w:pPr>
      <w:r>
        <w:t xml:space="preserve">Using the </w:t>
      </w:r>
      <w:r w:rsidRPr="00F4648C">
        <w:rPr>
          <w:b/>
          <w:bCs/>
        </w:rPr>
        <w:t>Cybersecurity Asset Database</w:t>
      </w:r>
      <w:r>
        <w:t xml:space="preserve">, the operations engineer removes all non-RMA-necessary assets from the </w:t>
      </w:r>
      <w:r w:rsidRPr="00F4648C">
        <w:rPr>
          <w:b/>
          <w:bCs/>
        </w:rPr>
        <w:t>Component</w:t>
      </w:r>
      <w:r>
        <w:t xml:space="preserve">. At this time, all assets or data governed by them are modified per vendor specifications for return of the component for repair. The result will be an RMA-ready Component. Additionally, a </w:t>
      </w:r>
      <w:r w:rsidRPr="00F4648C">
        <w:rPr>
          <w:b/>
          <w:bCs/>
        </w:rPr>
        <w:t>non-RMA-necessary Asset Removal Report</w:t>
      </w:r>
      <w:r w:rsidR="00CA0F3D">
        <w:rPr>
          <w:b/>
          <w:bCs/>
        </w:rPr>
        <w:t xml:space="preserve"> </w:t>
      </w:r>
      <w:r w:rsidR="00CA0F3D" w:rsidRPr="00F95ECB">
        <w:rPr>
          <w:b/>
          <w:bCs/>
          <w:color w:val="0070C0"/>
          <w:vertAlign w:val="superscript"/>
        </w:rPr>
        <w:t>[2]</w:t>
      </w:r>
      <w:r>
        <w:t xml:space="preserve"> is generated.</w:t>
      </w:r>
    </w:p>
    <w:p w14:paraId="7EBECFB9" w14:textId="7C61AB23" w:rsidR="000057D9" w:rsidRDefault="00F4648C" w:rsidP="00F4648C">
      <w:pPr>
        <w:ind w:left="720" w:hanging="720"/>
        <w:jc w:val="both"/>
      </w:pPr>
      <w:r w:rsidRPr="00F4648C">
        <w:rPr>
          <w:b/>
          <w:bCs/>
          <w:color w:val="0070C0"/>
        </w:rPr>
        <w:lastRenderedPageBreak/>
        <w:t>Note:</w:t>
      </w:r>
      <w:r>
        <w:rPr>
          <w:color w:val="0070C0"/>
        </w:rPr>
        <w:tab/>
      </w:r>
      <w:r w:rsidR="000057D9">
        <w:t>When decommissioning a vehicle</w:t>
      </w:r>
      <w:r w:rsidR="003E700A">
        <w:t xml:space="preserve"> or component therein</w:t>
      </w:r>
      <w:r w:rsidR="000057D9">
        <w:t xml:space="preserve"> in order to perform an RMA activity, care must be taken to maintain as much of the information needed by the supplier of the component to be serviced as possible without disclosure of unnecessary information which may lead to a compromise of security either of a single vehicle or across the fleet.</w:t>
      </w:r>
    </w:p>
    <w:p w14:paraId="4EC6D0A0" w14:textId="3C3E59B3" w:rsidR="000A5976" w:rsidRDefault="000A5976" w:rsidP="000057D9">
      <w:pPr>
        <w:jc w:val="both"/>
      </w:pPr>
    </w:p>
    <w:p w14:paraId="32E1C265" w14:textId="77777777" w:rsidR="004B51DC" w:rsidRDefault="004B51DC">
      <w:pPr>
        <w:rPr>
          <w:color w:val="434343"/>
          <w:sz w:val="28"/>
          <w:szCs w:val="28"/>
        </w:rPr>
      </w:pPr>
      <w:r>
        <w:br w:type="page"/>
      </w:r>
    </w:p>
    <w:p w14:paraId="319173B7" w14:textId="389B24DB" w:rsidR="003E700A" w:rsidRDefault="003E700A" w:rsidP="003E700A">
      <w:pPr>
        <w:pStyle w:val="Heading3"/>
      </w:pPr>
      <w:r>
        <w:lastRenderedPageBreak/>
        <w:t>EoL</w:t>
      </w:r>
    </w:p>
    <w:tbl>
      <w:tblPr>
        <w:tblW w:w="6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680"/>
      </w:tblGrid>
      <w:tr w:rsidR="003E700A" w14:paraId="00372F40" w14:textId="77777777" w:rsidTr="003E700A">
        <w:tc>
          <w:tcPr>
            <w:tcW w:w="1520" w:type="dxa"/>
            <w:shd w:val="clear" w:color="auto" w:fill="auto"/>
            <w:tcMar>
              <w:top w:w="100" w:type="dxa"/>
              <w:left w:w="100" w:type="dxa"/>
              <w:bottom w:w="100" w:type="dxa"/>
              <w:right w:w="100" w:type="dxa"/>
            </w:tcMar>
            <w:vAlign w:val="center"/>
          </w:tcPr>
          <w:p w14:paraId="3410F558" w14:textId="77777777" w:rsidR="003E700A" w:rsidRPr="003263B9" w:rsidRDefault="003E700A" w:rsidP="003E700A">
            <w:pPr>
              <w:widowControl w:val="0"/>
              <w:spacing w:line="240" w:lineRule="auto"/>
              <w:jc w:val="right"/>
              <w:rPr>
                <w:b/>
                <w:bCs/>
              </w:rPr>
            </w:pPr>
            <w:r w:rsidRPr="003263B9">
              <w:rPr>
                <w:b/>
                <w:bCs/>
              </w:rPr>
              <w:t>Inputs</w:t>
            </w:r>
          </w:p>
        </w:tc>
        <w:tc>
          <w:tcPr>
            <w:tcW w:w="4680" w:type="dxa"/>
          </w:tcPr>
          <w:p w14:paraId="4BB7451C" w14:textId="77777777" w:rsidR="003E700A" w:rsidRDefault="003E700A" w:rsidP="003E700A">
            <w:pPr>
              <w:widowControl w:val="0"/>
              <w:spacing w:line="240" w:lineRule="auto"/>
            </w:pPr>
            <w:r>
              <w:t>Cybersecurity Asset Database</w:t>
            </w:r>
          </w:p>
          <w:p w14:paraId="37D8ED53" w14:textId="50E328D9" w:rsidR="003E700A" w:rsidRDefault="003E700A" w:rsidP="003E700A">
            <w:pPr>
              <w:widowControl w:val="0"/>
              <w:spacing w:line="240" w:lineRule="auto"/>
            </w:pPr>
            <w:r>
              <w:t>Component</w:t>
            </w:r>
          </w:p>
        </w:tc>
      </w:tr>
      <w:tr w:rsidR="003E700A" w14:paraId="76D5EE3E" w14:textId="77777777" w:rsidTr="003E700A">
        <w:tc>
          <w:tcPr>
            <w:tcW w:w="1520" w:type="dxa"/>
            <w:shd w:val="clear" w:color="auto" w:fill="auto"/>
            <w:tcMar>
              <w:top w:w="100" w:type="dxa"/>
              <w:left w:w="100" w:type="dxa"/>
              <w:bottom w:w="100" w:type="dxa"/>
              <w:right w:w="100" w:type="dxa"/>
            </w:tcMar>
            <w:vAlign w:val="center"/>
          </w:tcPr>
          <w:p w14:paraId="601C4D51" w14:textId="77777777" w:rsidR="003E700A" w:rsidRPr="003263B9" w:rsidRDefault="003E700A" w:rsidP="003E700A">
            <w:pPr>
              <w:widowControl w:val="0"/>
              <w:spacing w:line="240" w:lineRule="auto"/>
              <w:jc w:val="right"/>
              <w:rPr>
                <w:b/>
                <w:bCs/>
              </w:rPr>
            </w:pPr>
            <w:r w:rsidRPr="003263B9">
              <w:rPr>
                <w:b/>
                <w:bCs/>
              </w:rPr>
              <w:t>Outputs</w:t>
            </w:r>
          </w:p>
        </w:tc>
        <w:tc>
          <w:tcPr>
            <w:tcW w:w="4680" w:type="dxa"/>
          </w:tcPr>
          <w:p w14:paraId="03EBA555" w14:textId="786BF059" w:rsidR="003E700A" w:rsidRDefault="003E700A" w:rsidP="003E700A">
            <w:pPr>
              <w:widowControl w:val="0"/>
              <w:spacing w:line="240" w:lineRule="auto"/>
            </w:pPr>
            <w:r>
              <w:t>EoL-ready Component</w:t>
            </w:r>
            <w:r>
              <w:br/>
              <w:t>Cybersecurity Decommissioning Report</w:t>
            </w:r>
          </w:p>
        </w:tc>
      </w:tr>
      <w:tr w:rsidR="003E700A" w14:paraId="24A31C7E" w14:textId="77777777" w:rsidTr="003E700A">
        <w:tc>
          <w:tcPr>
            <w:tcW w:w="1520" w:type="dxa"/>
            <w:shd w:val="clear" w:color="auto" w:fill="auto"/>
            <w:tcMar>
              <w:top w:w="100" w:type="dxa"/>
              <w:left w:w="100" w:type="dxa"/>
              <w:bottom w:w="100" w:type="dxa"/>
              <w:right w:w="100" w:type="dxa"/>
            </w:tcMar>
            <w:vAlign w:val="center"/>
          </w:tcPr>
          <w:p w14:paraId="0821AB00" w14:textId="77777777" w:rsidR="003E700A" w:rsidRPr="003263B9" w:rsidRDefault="003E700A" w:rsidP="003E700A">
            <w:pPr>
              <w:widowControl w:val="0"/>
              <w:spacing w:line="240" w:lineRule="auto"/>
              <w:jc w:val="right"/>
              <w:rPr>
                <w:b/>
                <w:bCs/>
              </w:rPr>
            </w:pPr>
            <w:r w:rsidRPr="003263B9">
              <w:rPr>
                <w:b/>
                <w:bCs/>
              </w:rPr>
              <w:t>Participants</w:t>
            </w:r>
          </w:p>
        </w:tc>
        <w:tc>
          <w:tcPr>
            <w:tcW w:w="4680" w:type="dxa"/>
          </w:tcPr>
          <w:p w14:paraId="63E459AD" w14:textId="4843E5F4" w:rsidR="003E700A" w:rsidRDefault="003E700A" w:rsidP="003E700A">
            <w:pPr>
              <w:widowControl w:val="0"/>
              <w:spacing w:line="240" w:lineRule="auto"/>
            </w:pPr>
            <w:r>
              <w:t>Operations Engineer</w:t>
            </w:r>
          </w:p>
        </w:tc>
      </w:tr>
    </w:tbl>
    <w:p w14:paraId="2088DE53" w14:textId="77777777" w:rsidR="003E700A" w:rsidRDefault="003E700A" w:rsidP="003E700A"/>
    <w:p w14:paraId="3DC5D3BE" w14:textId="77777777" w:rsidR="003E700A" w:rsidRDefault="003E700A" w:rsidP="003E700A">
      <w:pPr>
        <w:jc w:val="center"/>
      </w:pPr>
      <w:r>
        <w:rPr>
          <w:noProof/>
        </w:rPr>
        <w:drawing>
          <wp:inline distT="0" distB="0" distL="0" distR="0" wp14:anchorId="173C9087" wp14:editId="36D1552E">
            <wp:extent cx="4324396" cy="44073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324396" cy="4407397"/>
                    </a:xfrm>
                    <a:prstGeom prst="rect">
                      <a:avLst/>
                    </a:prstGeom>
                  </pic:spPr>
                </pic:pic>
              </a:graphicData>
            </a:graphic>
          </wp:inline>
        </w:drawing>
      </w:r>
    </w:p>
    <w:p w14:paraId="680C0E67" w14:textId="77777777" w:rsidR="003E700A" w:rsidRDefault="003E700A" w:rsidP="000057D9">
      <w:pPr>
        <w:jc w:val="both"/>
      </w:pPr>
    </w:p>
    <w:p w14:paraId="7B553BC2" w14:textId="1279628F" w:rsidR="00F4648C" w:rsidRDefault="00F4648C" w:rsidP="00F4648C">
      <w:pPr>
        <w:spacing w:after="240"/>
        <w:jc w:val="both"/>
      </w:pPr>
      <w:r>
        <w:t xml:space="preserve">Using the </w:t>
      </w:r>
      <w:r w:rsidRPr="00F4648C">
        <w:rPr>
          <w:b/>
          <w:bCs/>
        </w:rPr>
        <w:t>Cybersecurity Asset Database</w:t>
      </w:r>
      <w:r>
        <w:t xml:space="preserve">, the operations engineer removes all cybersecurity-relevant assets from the </w:t>
      </w:r>
      <w:r w:rsidRPr="00F4648C">
        <w:rPr>
          <w:b/>
          <w:bCs/>
        </w:rPr>
        <w:t>Component</w:t>
      </w:r>
      <w:r>
        <w:t>. At this time, data is wiped from the component</w:t>
      </w:r>
      <w:r w:rsidR="00F95ECB">
        <w:t xml:space="preserve"> </w:t>
      </w:r>
      <w:r w:rsidR="00F95ECB" w:rsidRPr="00F95ECB">
        <w:rPr>
          <w:b/>
          <w:bCs/>
          <w:color w:val="0070C0"/>
          <w:vertAlign w:val="superscript"/>
        </w:rPr>
        <w:t>[3]</w:t>
      </w:r>
      <w:r>
        <w:t xml:space="preserve">. The result will be an EoL-ready Component. Additionally, a </w:t>
      </w:r>
      <w:r>
        <w:rPr>
          <w:b/>
          <w:bCs/>
        </w:rPr>
        <w:t>Cybersecurity Decommissioning</w:t>
      </w:r>
      <w:r w:rsidRPr="00F4648C">
        <w:rPr>
          <w:b/>
          <w:bCs/>
        </w:rPr>
        <w:t xml:space="preserve"> Report</w:t>
      </w:r>
      <w:r w:rsidR="00F95ECB">
        <w:rPr>
          <w:b/>
          <w:bCs/>
        </w:rPr>
        <w:t xml:space="preserve"> </w:t>
      </w:r>
      <w:r w:rsidR="00F95ECB" w:rsidRPr="00F95ECB">
        <w:rPr>
          <w:b/>
          <w:bCs/>
          <w:color w:val="0070C0"/>
          <w:vertAlign w:val="superscript"/>
        </w:rPr>
        <w:t>[2]</w:t>
      </w:r>
      <w:r>
        <w:t xml:space="preserve"> is generated.</w:t>
      </w:r>
    </w:p>
    <w:p w14:paraId="3799B343" w14:textId="066184AA" w:rsidR="000057D9" w:rsidRDefault="00F4648C" w:rsidP="00F4648C">
      <w:pPr>
        <w:ind w:left="720" w:hanging="720"/>
        <w:jc w:val="both"/>
      </w:pPr>
      <w:r w:rsidRPr="00F4648C">
        <w:rPr>
          <w:b/>
          <w:bCs/>
          <w:color w:val="0070C0"/>
        </w:rPr>
        <w:t>Note:</w:t>
      </w:r>
      <w:r>
        <w:tab/>
      </w:r>
      <w:r w:rsidR="000057D9">
        <w:t>When decommissioning a vehicle in order to permanently remove it from service, all security sensitive information must be securely removed from the vehicle as leaving it may lead to a compromise of security either of a single vehicle or across the fleet.</w:t>
      </w:r>
    </w:p>
    <w:p w14:paraId="60A5A61A" w14:textId="77777777" w:rsidR="000A5976" w:rsidRDefault="000A5976" w:rsidP="000A5976">
      <w:pPr>
        <w:jc w:val="both"/>
      </w:pPr>
    </w:p>
    <w:p w14:paraId="0000001A" w14:textId="06D1E7F9" w:rsidR="00E57B7A" w:rsidRDefault="000F5858">
      <w:pPr>
        <w:pStyle w:val="Heading1"/>
      </w:pPr>
      <w:r>
        <w:lastRenderedPageBreak/>
        <w:t>References</w:t>
      </w:r>
    </w:p>
    <w:p w14:paraId="35359592" w14:textId="3AE97C8D" w:rsidR="003E700A" w:rsidRPr="003E700A" w:rsidRDefault="003E700A" w:rsidP="003E700A">
      <w:pPr>
        <w:pStyle w:val="ListParagraph"/>
        <w:numPr>
          <w:ilvl w:val="0"/>
          <w:numId w:val="3"/>
        </w:numPr>
        <w:ind w:left="360"/>
        <w:rPr>
          <w:b/>
          <w:bCs/>
          <w:lang w:val="en-US"/>
        </w:rPr>
      </w:pPr>
      <w:r w:rsidRPr="003E700A">
        <w:rPr>
          <w:b/>
          <w:bCs/>
          <w:lang w:val="en-US"/>
        </w:rPr>
        <w:t>Return merchandise authorization</w:t>
      </w:r>
      <w:r w:rsidRPr="003E700A">
        <w:rPr>
          <w:b/>
          <w:bCs/>
        </w:rPr>
        <w:br/>
      </w:r>
      <w:hyperlink r:id="rId12" w:history="1">
        <w:r w:rsidRPr="003E700A">
          <w:rPr>
            <w:rStyle w:val="Hyperlink"/>
            <w:rFonts w:ascii="Courier New" w:hAnsi="Courier New" w:cs="Courier New"/>
            <w:b/>
            <w:bCs/>
            <w:sz w:val="21"/>
            <w:szCs w:val="21"/>
          </w:rPr>
          <w:t>https://en.wikipedia.org/wiki/Return_merchandise_authorization</w:t>
        </w:r>
      </w:hyperlink>
      <w:r>
        <w:t xml:space="preserve"> </w:t>
      </w:r>
    </w:p>
    <w:p w14:paraId="67EC8951" w14:textId="7BE4CEC1" w:rsidR="003E700A" w:rsidRPr="00F95ECB" w:rsidRDefault="002002D1" w:rsidP="003E700A">
      <w:pPr>
        <w:pStyle w:val="ListParagraph"/>
        <w:numPr>
          <w:ilvl w:val="0"/>
          <w:numId w:val="3"/>
        </w:numPr>
        <w:ind w:left="360"/>
        <w:rPr>
          <w:b/>
          <w:bCs/>
        </w:rPr>
      </w:pPr>
      <w:r>
        <w:rPr>
          <w:b/>
          <w:bCs/>
        </w:rPr>
        <w:t xml:space="preserve">Decommissioning Report </w:t>
      </w:r>
      <w:r w:rsidRPr="002002D1">
        <w:t>(AVCDL secondary document)</w:t>
      </w:r>
    </w:p>
    <w:p w14:paraId="13DCB80E" w14:textId="1894C7E2" w:rsidR="00F95ECB" w:rsidRPr="003E700A" w:rsidRDefault="00F95ECB" w:rsidP="003E700A">
      <w:pPr>
        <w:pStyle w:val="ListParagraph"/>
        <w:numPr>
          <w:ilvl w:val="0"/>
          <w:numId w:val="3"/>
        </w:numPr>
        <w:ind w:left="360"/>
        <w:rPr>
          <w:b/>
          <w:bCs/>
        </w:rPr>
      </w:pPr>
      <w:r>
        <w:rPr>
          <w:b/>
          <w:bCs/>
        </w:rPr>
        <w:t>NIST SP 800-88 r1 – Guidelines for Media Sanitization</w:t>
      </w:r>
      <w:r>
        <w:rPr>
          <w:b/>
          <w:bCs/>
        </w:rPr>
        <w:br/>
      </w:r>
      <w:hyperlink r:id="rId13" w:history="1">
        <w:r w:rsidRPr="00D24834">
          <w:rPr>
            <w:rStyle w:val="Hyperlink"/>
            <w:rFonts w:ascii="Courier New" w:hAnsi="Courier New" w:cs="Courier New"/>
            <w:b/>
            <w:bCs/>
            <w:sz w:val="20"/>
            <w:szCs w:val="20"/>
          </w:rPr>
          <w:t>https://nvlpubs.nist.gov/nistpubs/SpecialPublications/NIST.SP.800-88r1.pdf</w:t>
        </w:r>
      </w:hyperlink>
      <w:r>
        <w:rPr>
          <w:rFonts w:ascii="Courier New" w:hAnsi="Courier New" w:cs="Courier New"/>
          <w:b/>
          <w:bCs/>
          <w:sz w:val="20"/>
          <w:szCs w:val="20"/>
        </w:rPr>
        <w:t xml:space="preserve"> </w:t>
      </w:r>
    </w:p>
    <w:p w14:paraId="0000001D" w14:textId="77777777" w:rsidR="00E57B7A" w:rsidRDefault="00E57B7A"/>
    <w:sectPr w:rsidR="00E57B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B1217"/>
    <w:multiLevelType w:val="multilevel"/>
    <w:tmpl w:val="46407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C7D54"/>
    <w:multiLevelType w:val="hybridMultilevel"/>
    <w:tmpl w:val="A238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25B04"/>
    <w:multiLevelType w:val="hybridMultilevel"/>
    <w:tmpl w:val="DA5A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B7A"/>
    <w:rsid w:val="000057D9"/>
    <w:rsid w:val="00037497"/>
    <w:rsid w:val="00077ABB"/>
    <w:rsid w:val="000A5976"/>
    <w:rsid w:val="000F5858"/>
    <w:rsid w:val="0017462F"/>
    <w:rsid w:val="00191C77"/>
    <w:rsid w:val="001B3784"/>
    <w:rsid w:val="002002D1"/>
    <w:rsid w:val="002639A0"/>
    <w:rsid w:val="003E700A"/>
    <w:rsid w:val="004B51DC"/>
    <w:rsid w:val="004E4F73"/>
    <w:rsid w:val="00515717"/>
    <w:rsid w:val="00547A67"/>
    <w:rsid w:val="005D660B"/>
    <w:rsid w:val="006661B1"/>
    <w:rsid w:val="00691808"/>
    <w:rsid w:val="00715ABD"/>
    <w:rsid w:val="008F2B26"/>
    <w:rsid w:val="00947A9F"/>
    <w:rsid w:val="00975925"/>
    <w:rsid w:val="009A7BC8"/>
    <w:rsid w:val="00B8511F"/>
    <w:rsid w:val="00C56A7D"/>
    <w:rsid w:val="00CA0F3D"/>
    <w:rsid w:val="00CD2638"/>
    <w:rsid w:val="00D01402"/>
    <w:rsid w:val="00E33539"/>
    <w:rsid w:val="00E55C03"/>
    <w:rsid w:val="00E57B7A"/>
    <w:rsid w:val="00F4648C"/>
    <w:rsid w:val="00F52D1B"/>
    <w:rsid w:val="00F9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915E"/>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57D9"/>
    <w:pPr>
      <w:ind w:left="720"/>
      <w:contextualSpacing/>
    </w:pPr>
  </w:style>
  <w:style w:type="character" w:customStyle="1" w:styleId="Heading1Char">
    <w:name w:val="Heading 1 Char"/>
    <w:basedOn w:val="DefaultParagraphFont"/>
    <w:link w:val="Heading1"/>
    <w:uiPriority w:val="9"/>
    <w:rsid w:val="00947A9F"/>
    <w:rPr>
      <w:sz w:val="40"/>
      <w:szCs w:val="40"/>
    </w:rPr>
  </w:style>
  <w:style w:type="character" w:styleId="Hyperlink">
    <w:name w:val="Hyperlink"/>
    <w:basedOn w:val="DefaultParagraphFont"/>
    <w:uiPriority w:val="99"/>
    <w:unhideWhenUsed/>
    <w:rsid w:val="00947A9F"/>
    <w:rPr>
      <w:color w:val="0000FF" w:themeColor="hyperlink"/>
      <w:u w:val="single"/>
    </w:rPr>
  </w:style>
  <w:style w:type="paragraph" w:customStyle="1" w:styleId="FirstParagraph">
    <w:name w:val="First Paragraph"/>
    <w:basedOn w:val="BodyText"/>
    <w:next w:val="BodyText"/>
    <w:qFormat/>
    <w:rsid w:val="00947A9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947A9F"/>
    <w:pPr>
      <w:spacing w:after="120"/>
    </w:pPr>
  </w:style>
  <w:style w:type="character" w:customStyle="1" w:styleId="BodyTextChar">
    <w:name w:val="Body Text Char"/>
    <w:basedOn w:val="DefaultParagraphFont"/>
    <w:link w:val="BodyText"/>
    <w:uiPriority w:val="99"/>
    <w:semiHidden/>
    <w:rsid w:val="00947A9F"/>
  </w:style>
  <w:style w:type="character" w:styleId="UnresolvedMention">
    <w:name w:val="Unresolved Mention"/>
    <w:basedOn w:val="DefaultParagraphFont"/>
    <w:uiPriority w:val="99"/>
    <w:semiHidden/>
    <w:unhideWhenUsed/>
    <w:rsid w:val="003E7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744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vlpubs.nist.gov/nistpubs/SpecialPublications/NIST.SP.800-88r1.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Return_merchandise_author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reativecommons.org/licenses/by/4.0/legalcod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800</Words>
  <Characters>4512</Characters>
  <Application>Microsoft Office Word</Application>
  <DocSecurity>0</DocSecurity>
  <Lines>77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9</cp:revision>
  <dcterms:created xsi:type="dcterms:W3CDTF">2021-10-11T17:57:00Z</dcterms:created>
  <dcterms:modified xsi:type="dcterms:W3CDTF">2021-11-15T13:46:00Z</dcterms:modified>
</cp:coreProperties>
</file>