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1C0CDAD" w:rsidR="00FD6418" w:rsidRDefault="0032560B">
      <w:pPr>
        <w:pStyle w:val="Title"/>
        <w:jc w:val="center"/>
      </w:pPr>
      <w:bookmarkStart w:id="0" w:name="_v0twu2etnwkb" w:colFirst="0" w:colLast="0"/>
      <w:bookmarkEnd w:id="0"/>
      <w:r>
        <w:t>List of Approved Tools</w:t>
      </w:r>
      <w:r w:rsidR="000839F0">
        <w:t xml:space="preserve"> and Components</w:t>
      </w:r>
    </w:p>
    <w:p w14:paraId="00000002" w14:textId="3F02852B" w:rsidR="00FD6418" w:rsidRDefault="0032560B">
      <w:pPr>
        <w:pStyle w:val="Heading1"/>
      </w:pPr>
      <w:bookmarkStart w:id="1" w:name="_k4pajpny12rv" w:colFirst="0" w:colLast="0"/>
      <w:bookmarkEnd w:id="1"/>
      <w:r>
        <w:t>Revision</w:t>
      </w:r>
    </w:p>
    <w:p w14:paraId="5EBB94E4" w14:textId="18802F18" w:rsidR="009930D9" w:rsidRPr="009930D9" w:rsidRDefault="009930D9" w:rsidP="009930D9">
      <w:r>
        <w:t xml:space="preserve">Version </w:t>
      </w:r>
      <w:r w:rsidR="006C6952">
        <w:t>5</w:t>
      </w:r>
    </w:p>
    <w:p w14:paraId="00000003" w14:textId="0167E548" w:rsidR="00FD6418" w:rsidRDefault="00702731" w:rsidP="00702731">
      <w:r>
        <w:fldChar w:fldCharType="begin"/>
      </w:r>
      <w:r>
        <w:instrText xml:space="preserve"> DATE \@ "M/d/yy h:mm am/pm" </w:instrText>
      </w:r>
      <w:r>
        <w:fldChar w:fldCharType="separate"/>
      </w:r>
      <w:r w:rsidR="003C6E8A">
        <w:rPr>
          <w:noProof/>
        </w:rPr>
        <w:t>11/15/21 9:05 AM</w:t>
      </w:r>
      <w:r>
        <w:fldChar w:fldCharType="end"/>
      </w:r>
    </w:p>
    <w:p w14:paraId="0EB29D48" w14:textId="7362E58F" w:rsidR="0088074A" w:rsidRDefault="0088074A" w:rsidP="0088074A">
      <w:pPr>
        <w:pStyle w:val="Heading1"/>
      </w:pPr>
      <w:bookmarkStart w:id="2" w:name="_2c1hhw8r9gge" w:colFirst="0" w:colLast="0"/>
      <w:bookmarkEnd w:id="2"/>
      <w:r>
        <w:t>SME</w:t>
      </w:r>
    </w:p>
    <w:p w14:paraId="75488701" w14:textId="718CE9D0" w:rsidR="0088074A" w:rsidRDefault="0088074A" w:rsidP="0088074A">
      <w:pPr>
        <w:jc w:val="both"/>
      </w:pPr>
      <w:r>
        <w:t>Charles Wilson</w:t>
      </w:r>
    </w:p>
    <w:p w14:paraId="00000004" w14:textId="77777777" w:rsidR="00FD6418" w:rsidRDefault="0032560B">
      <w:pPr>
        <w:pStyle w:val="Heading1"/>
      </w:pPr>
      <w:r>
        <w:t>Abstract</w:t>
      </w:r>
    </w:p>
    <w:p w14:paraId="00000005" w14:textId="2D49168D" w:rsidR="00FD6418" w:rsidRDefault="0032560B">
      <w:pPr>
        <w:jc w:val="both"/>
      </w:pPr>
      <w:r>
        <w:t xml:space="preserve">This document describes the methodology to </w:t>
      </w:r>
      <w:r w:rsidR="00392F43">
        <w:t xml:space="preserve">create </w:t>
      </w:r>
      <w:r>
        <w:t>track</w:t>
      </w:r>
      <w:r w:rsidR="00392F43">
        <w:t>ing information for</w:t>
      </w:r>
      <w:r>
        <w:t xml:space="preserve"> the software used in the creation of an autonomous vehicle.</w:t>
      </w:r>
    </w:p>
    <w:p w14:paraId="00000006" w14:textId="77777777" w:rsidR="00FD6418" w:rsidRDefault="0032560B">
      <w:pPr>
        <w:pStyle w:val="Heading1"/>
        <w:jc w:val="both"/>
      </w:pPr>
      <w:bookmarkStart w:id="3" w:name="_v95sqlrw3mtr" w:colFirst="0" w:colLast="0"/>
      <w:bookmarkEnd w:id="3"/>
      <w:r>
        <w:t>Group / Owner</w:t>
      </w:r>
    </w:p>
    <w:p w14:paraId="00000007" w14:textId="77777777" w:rsidR="00FD6418" w:rsidRDefault="0032560B">
      <w:pPr>
        <w:jc w:val="both"/>
      </w:pPr>
      <w:r>
        <w:t>devops / Information Systems Security Developer</w:t>
      </w:r>
    </w:p>
    <w:p w14:paraId="00000008" w14:textId="77777777" w:rsidR="00FD6418" w:rsidRDefault="0032560B">
      <w:pPr>
        <w:pStyle w:val="Heading1"/>
        <w:jc w:val="both"/>
      </w:pPr>
      <w:bookmarkStart w:id="4" w:name="_olcs7d4b90ea" w:colFirst="0" w:colLast="0"/>
      <w:bookmarkEnd w:id="4"/>
      <w:r>
        <w:t>Motivation</w:t>
      </w:r>
    </w:p>
    <w:p w14:paraId="00000009" w14:textId="6CFB92CE" w:rsidR="00FD6418" w:rsidRDefault="0032560B">
      <w:pPr>
        <w:jc w:val="both"/>
      </w:pPr>
      <w:r>
        <w:t xml:space="preserve">This document is motivated by the need to have formal processes in place tracking the tools </w:t>
      </w:r>
      <w:r w:rsidR="000839F0">
        <w:t xml:space="preserve">and components </w:t>
      </w:r>
      <w:r>
        <w:t>used in creation of safety-critical, cyber-physical systems for certification of compliance to standards such as ISO 21434 and 26262.</w:t>
      </w:r>
      <w:r w:rsidR="00702731">
        <w:t xml:space="preserve"> The case is made </w:t>
      </w:r>
      <w:r w:rsidR="00552C28">
        <w:t>in the</w:t>
      </w:r>
      <w:r w:rsidR="00910488">
        <w:t xml:space="preserve"> referenced document</w:t>
      </w:r>
      <w:r w:rsidR="007061F9">
        <w:t xml:space="preserve"> </w:t>
      </w:r>
      <w:r w:rsidR="007061F9" w:rsidRPr="00910488">
        <w:rPr>
          <w:b/>
          <w:color w:val="0070C0"/>
          <w:vertAlign w:val="superscript"/>
        </w:rPr>
        <w:t>[1]</w:t>
      </w:r>
      <w:r w:rsidR="00702731" w:rsidRPr="00910488">
        <w:t>.</w:t>
      </w:r>
    </w:p>
    <w:p w14:paraId="1968789E" w14:textId="77777777" w:rsidR="009930D9" w:rsidRDefault="009930D9" w:rsidP="009930D9">
      <w:pPr>
        <w:pStyle w:val="Heading1"/>
        <w:jc w:val="both"/>
      </w:pPr>
      <w:bookmarkStart w:id="5" w:name="_f5diy2ktdyyf" w:colFirst="0" w:colLast="0"/>
      <w:bookmarkEnd w:id="5"/>
      <w:r>
        <w:t>License</w:t>
      </w:r>
    </w:p>
    <w:p w14:paraId="57E803AA" w14:textId="77777777" w:rsidR="009930D9" w:rsidRDefault="009930D9" w:rsidP="009930D9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AE1686C" w14:textId="77777777" w:rsidR="009930D9" w:rsidRDefault="00C24746" w:rsidP="009930D9">
      <w:pPr>
        <w:pStyle w:val="FirstParagraph"/>
        <w:jc w:val="both"/>
      </w:pPr>
      <w:hyperlink r:id="rId8" w:history="1">
        <w:r w:rsidR="009930D9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65E1092" w14:textId="77777777" w:rsidR="002914CB" w:rsidRDefault="002914CB">
      <w:pPr>
        <w:rPr>
          <w:sz w:val="40"/>
          <w:szCs w:val="40"/>
        </w:rPr>
      </w:pPr>
      <w:r>
        <w:br w:type="page"/>
      </w:r>
    </w:p>
    <w:p w14:paraId="0000000A" w14:textId="0D3B48A1" w:rsidR="00FD6418" w:rsidRDefault="0032560B">
      <w:pPr>
        <w:pStyle w:val="Heading1"/>
      </w:pPr>
      <w:r>
        <w:lastRenderedPageBreak/>
        <w:t>Overview</w:t>
      </w:r>
    </w:p>
    <w:p w14:paraId="7CBDD385" w14:textId="607B841B" w:rsidR="002914CB" w:rsidRDefault="0032560B" w:rsidP="002914CB">
      <w:pPr>
        <w:spacing w:after="240"/>
        <w:jc w:val="both"/>
      </w:pPr>
      <w:r>
        <w:t xml:space="preserve">In order to ensure the security of the software </w:t>
      </w:r>
      <w:r w:rsidR="00234E18">
        <w:t>to be produced</w:t>
      </w:r>
      <w:r>
        <w:t xml:space="preserve">, it is necessary to validate and enumerate the software used in </w:t>
      </w:r>
      <w:r w:rsidR="00234E18">
        <w:t>its</w:t>
      </w:r>
      <w:r>
        <w:t xml:space="preserve"> creation.</w:t>
      </w:r>
    </w:p>
    <w:p w14:paraId="0000000B" w14:textId="2CE539E5" w:rsidR="00FD6418" w:rsidRDefault="002914CB" w:rsidP="002914CB">
      <w:pPr>
        <w:spacing w:after="240"/>
        <w:jc w:val="both"/>
      </w:pPr>
      <w:r>
        <w:t xml:space="preserve">Below is the overview of the process leading to development </w:t>
      </w:r>
      <w:r w:rsidR="000839F0">
        <w:t>tool / component</w:t>
      </w:r>
      <w:r>
        <w:t xml:space="preserve"> ingest.</w:t>
      </w:r>
    </w:p>
    <w:p w14:paraId="1F3B6F7B" w14:textId="47F4F324" w:rsidR="002914CB" w:rsidRDefault="009C202E" w:rsidP="000839F0">
      <w:pPr>
        <w:spacing w:after="240"/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B209009" wp14:editId="0322D341">
            <wp:extent cx="5943583" cy="27101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83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B27" w14:textId="33751B43" w:rsidR="002914CB" w:rsidRDefault="000839F0" w:rsidP="000839F0">
      <w:pPr>
        <w:ind w:left="720" w:hanging="720"/>
        <w:rPr>
          <w:sz w:val="40"/>
          <w:szCs w:val="40"/>
        </w:rPr>
      </w:pPr>
      <w:bookmarkStart w:id="6" w:name="_ka2wojif16d2" w:colFirst="0" w:colLast="0"/>
      <w:bookmarkEnd w:id="6"/>
      <w:r w:rsidRPr="000839F0">
        <w:rPr>
          <w:b/>
          <w:bCs/>
          <w:color w:val="0070C0"/>
        </w:rPr>
        <w:t>Note:</w:t>
      </w:r>
      <w:r>
        <w:tab/>
        <w:t xml:space="preserve">In order to avoid constantly repeating the phrase “tool / component,” </w:t>
      </w:r>
      <w:r w:rsidRPr="000839F0">
        <w:rPr>
          <w:b/>
          <w:bCs/>
        </w:rPr>
        <w:t>tool</w:t>
      </w:r>
      <w:r>
        <w:t xml:space="preserve"> is used to refer to either a </w:t>
      </w:r>
      <w:r w:rsidRPr="000839F0">
        <w:rPr>
          <w:b/>
          <w:bCs/>
        </w:rPr>
        <w:t>tool</w:t>
      </w:r>
      <w:r>
        <w:t xml:space="preserve"> or a </w:t>
      </w:r>
      <w:r w:rsidRPr="000839F0">
        <w:rPr>
          <w:b/>
          <w:bCs/>
        </w:rPr>
        <w:t>component</w:t>
      </w:r>
      <w:r>
        <w:t>.</w:t>
      </w:r>
      <w:r w:rsidR="002914CB">
        <w:br w:type="page"/>
      </w:r>
    </w:p>
    <w:p w14:paraId="0000000C" w14:textId="52032519" w:rsidR="00FD6418" w:rsidRDefault="00E93915">
      <w:pPr>
        <w:pStyle w:val="Heading1"/>
      </w:pPr>
      <w:r>
        <w:lastRenderedPageBreak/>
        <w:t>Process</w:t>
      </w:r>
    </w:p>
    <w:p w14:paraId="72022EDF" w14:textId="6C93A436" w:rsidR="002914CB" w:rsidRDefault="002914CB" w:rsidP="002914CB">
      <w:pPr>
        <w:pStyle w:val="Heading2"/>
      </w:pPr>
      <w:r>
        <w:t>Security Review</w:t>
      </w:r>
    </w:p>
    <w:p w14:paraId="58CD1D77" w14:textId="77777777" w:rsidR="002914CB" w:rsidRDefault="002914CB" w:rsidP="002914CB"/>
    <w:tbl>
      <w:tblPr>
        <w:tblW w:w="7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020"/>
      </w:tblGrid>
      <w:tr w:rsidR="002914CB" w14:paraId="11D5996E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05331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6D65" w14:textId="3B9B4646" w:rsidR="002914CB" w:rsidRDefault="002914CB" w:rsidP="00D373ED">
            <w:pPr>
              <w:widowControl w:val="0"/>
              <w:spacing w:line="240" w:lineRule="auto"/>
            </w:pPr>
            <w:r>
              <w:t>Candidate development tool</w:t>
            </w:r>
          </w:p>
        </w:tc>
      </w:tr>
      <w:tr w:rsidR="002914CB" w14:paraId="56C3B1CD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BCD5A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DEF9" w14:textId="2C729C2F" w:rsidR="002914CB" w:rsidRDefault="002914CB" w:rsidP="00D373ED">
            <w:pPr>
              <w:widowControl w:val="0"/>
              <w:spacing w:line="240" w:lineRule="auto"/>
            </w:pPr>
            <w:r>
              <w:t>Security screened development tool</w:t>
            </w:r>
            <w:r w:rsidR="00392F43">
              <w:t>, security review report</w:t>
            </w:r>
          </w:p>
        </w:tc>
      </w:tr>
      <w:tr w:rsidR="002914CB" w14:paraId="030C2A90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8D9EB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DB0C" w14:textId="08E2809F" w:rsidR="002914CB" w:rsidRDefault="002914CB" w:rsidP="00D373ED">
            <w:pPr>
              <w:widowControl w:val="0"/>
              <w:spacing w:line="240" w:lineRule="auto"/>
            </w:pPr>
            <w:r>
              <w:t>Security SME, Development SME</w:t>
            </w:r>
          </w:p>
        </w:tc>
      </w:tr>
    </w:tbl>
    <w:p w14:paraId="04C98991" w14:textId="24EB4C09" w:rsidR="002914CB" w:rsidRDefault="002914CB" w:rsidP="002914CB"/>
    <w:p w14:paraId="71D0A931" w14:textId="4B2D7400" w:rsidR="004A03C5" w:rsidRDefault="009C202E" w:rsidP="004A03C5">
      <w:pPr>
        <w:jc w:val="center"/>
      </w:pPr>
      <w:r>
        <w:rPr>
          <w:noProof/>
        </w:rPr>
        <w:drawing>
          <wp:inline distT="0" distB="0" distL="0" distR="0" wp14:anchorId="29C7F47A" wp14:editId="02A622BD">
            <wp:extent cx="4100946" cy="4386395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96" cy="44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92E" w14:textId="77777777" w:rsidR="004A03C5" w:rsidRDefault="004A03C5" w:rsidP="002914CB"/>
    <w:p w14:paraId="42AF3C72" w14:textId="1830B667" w:rsidR="002914CB" w:rsidRDefault="002914CB" w:rsidP="002914CB">
      <w:pPr>
        <w:jc w:val="both"/>
      </w:pPr>
      <w:r w:rsidRPr="002658B3">
        <w:t xml:space="preserve">The </w:t>
      </w:r>
      <w:r w:rsidR="00545B59">
        <w:t>Security</w:t>
      </w:r>
      <w:r w:rsidRPr="002658B3">
        <w:t xml:space="preserve"> SME, together with Development SME(s), </w:t>
      </w:r>
      <w:r w:rsidR="00545B59">
        <w:t xml:space="preserve">review the candidate development tool to determine whether it has acceptable security controls in place. The specifics of “acceptable” is based on the tool and its application. If the </w:t>
      </w:r>
      <w:r w:rsidR="00392F43">
        <w:t>tool</w:t>
      </w:r>
      <w:r w:rsidR="00545B59">
        <w:t xml:space="preserve"> is deemed </w:t>
      </w:r>
      <w:r w:rsidR="00392F43">
        <w:t>unacceptable</w:t>
      </w:r>
      <w:r w:rsidR="00545B59">
        <w:t>, it is rejected and may not be used.</w:t>
      </w:r>
      <w:r w:rsidR="00392F43">
        <w:t xml:space="preserve"> A report documenting the nature and outcome of the review will be generated.</w:t>
      </w:r>
    </w:p>
    <w:p w14:paraId="20FAE9CC" w14:textId="5684EB06" w:rsidR="002914CB" w:rsidRDefault="002914CB" w:rsidP="002914CB">
      <w:pPr>
        <w:pStyle w:val="Heading2"/>
      </w:pPr>
      <w:r>
        <w:lastRenderedPageBreak/>
        <w:t>Legal Review</w:t>
      </w:r>
    </w:p>
    <w:p w14:paraId="54E7ED5B" w14:textId="77777777" w:rsidR="002914CB" w:rsidRDefault="002914CB" w:rsidP="002914CB"/>
    <w:tbl>
      <w:tblPr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480"/>
      </w:tblGrid>
      <w:tr w:rsidR="002914CB" w14:paraId="09A39809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9A961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C89B" w14:textId="499C6645" w:rsidR="002914CB" w:rsidRDefault="005804F0" w:rsidP="00D373ED">
            <w:pPr>
              <w:widowControl w:val="0"/>
              <w:spacing w:line="240" w:lineRule="auto"/>
            </w:pPr>
            <w:r>
              <w:t>Security screened development tool</w:t>
            </w:r>
          </w:p>
        </w:tc>
      </w:tr>
      <w:tr w:rsidR="002914CB" w14:paraId="1700969D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C4DCF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F569" w14:textId="32BDAE4B" w:rsidR="002914CB" w:rsidRDefault="005804F0" w:rsidP="00D373ED">
            <w:pPr>
              <w:widowControl w:val="0"/>
              <w:spacing w:line="240" w:lineRule="auto"/>
            </w:pPr>
            <w:r>
              <w:t>Legal screened development tool</w:t>
            </w:r>
            <w:r w:rsidR="00392F43">
              <w:t>, legal review report</w:t>
            </w:r>
          </w:p>
        </w:tc>
      </w:tr>
      <w:tr w:rsidR="002914CB" w14:paraId="705B7D81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EB3DE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1348" w14:textId="45B54B09" w:rsidR="002914CB" w:rsidRDefault="005804F0" w:rsidP="00D373ED">
            <w:pPr>
              <w:widowControl w:val="0"/>
              <w:spacing w:line="240" w:lineRule="auto"/>
            </w:pPr>
            <w:r>
              <w:t>Legal</w:t>
            </w:r>
            <w:r w:rsidR="002914CB">
              <w:t xml:space="preserve"> SME</w:t>
            </w:r>
          </w:p>
        </w:tc>
      </w:tr>
    </w:tbl>
    <w:p w14:paraId="00EAC197" w14:textId="7F79138F" w:rsidR="002914CB" w:rsidRDefault="002914CB" w:rsidP="002914CB"/>
    <w:p w14:paraId="62F040C5" w14:textId="03CA616C" w:rsidR="004A03C5" w:rsidRDefault="009C202E" w:rsidP="004A03C5">
      <w:pPr>
        <w:jc w:val="center"/>
      </w:pPr>
      <w:r>
        <w:rPr>
          <w:noProof/>
        </w:rPr>
        <w:drawing>
          <wp:inline distT="0" distB="0" distL="0" distR="0" wp14:anchorId="060826E8" wp14:editId="151F19DA">
            <wp:extent cx="3848196" cy="4423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96" cy="4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911C" w14:textId="77777777" w:rsidR="004A03C5" w:rsidRDefault="004A03C5" w:rsidP="002914CB"/>
    <w:p w14:paraId="49117DEB" w14:textId="2DCD7AC9" w:rsidR="002914CB" w:rsidRDefault="002914CB" w:rsidP="002914CB">
      <w:pPr>
        <w:jc w:val="both"/>
      </w:pPr>
      <w:r w:rsidRPr="002658B3">
        <w:t xml:space="preserve">The </w:t>
      </w:r>
      <w:r w:rsidR="00545B59">
        <w:t>Legal</w:t>
      </w:r>
      <w:r w:rsidRPr="002658B3">
        <w:t xml:space="preserve"> SME</w:t>
      </w:r>
      <w:r w:rsidR="00545B59">
        <w:t xml:space="preserve"> reviews the </w:t>
      </w:r>
      <w:r w:rsidR="00392F43">
        <w:t xml:space="preserve">security screened tool’s </w:t>
      </w:r>
      <w:r w:rsidR="00545B59">
        <w:t>license</w:t>
      </w:r>
      <w:r w:rsidR="00392F43">
        <w:t xml:space="preserve"> to assess its acceptability. The specifics of “acceptability” is based on the tool and its deployment. If the tool’s license is deemed unacceptable, it is rejected and may not be used. A report documenting the nature and outcome of the review will be generated.</w:t>
      </w:r>
    </w:p>
    <w:p w14:paraId="79507104" w14:textId="77777777" w:rsidR="004A03C5" w:rsidRDefault="004A03C5">
      <w:pPr>
        <w:rPr>
          <w:sz w:val="32"/>
          <w:szCs w:val="32"/>
        </w:rPr>
      </w:pPr>
      <w:r>
        <w:br w:type="page"/>
      </w:r>
    </w:p>
    <w:p w14:paraId="44392DDB" w14:textId="5E778165" w:rsidR="002914CB" w:rsidRDefault="002914CB" w:rsidP="002914CB">
      <w:pPr>
        <w:pStyle w:val="Heading2"/>
      </w:pPr>
      <w:r>
        <w:lastRenderedPageBreak/>
        <w:t>Ingest</w:t>
      </w:r>
    </w:p>
    <w:p w14:paraId="60A0FAE1" w14:textId="77777777" w:rsidR="002914CB" w:rsidRDefault="002914CB" w:rsidP="002914CB"/>
    <w:tbl>
      <w:tblPr>
        <w:tblW w:w="6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100"/>
      </w:tblGrid>
      <w:tr w:rsidR="002914CB" w14:paraId="49F837D7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57F27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C6D9" w14:textId="543F20BA" w:rsidR="002914CB" w:rsidRDefault="005804F0" w:rsidP="00D373ED">
            <w:pPr>
              <w:widowControl w:val="0"/>
              <w:spacing w:line="240" w:lineRule="auto"/>
            </w:pPr>
            <w:r>
              <w:t>Legal screened development tool</w:t>
            </w:r>
          </w:p>
        </w:tc>
      </w:tr>
      <w:tr w:rsidR="002914CB" w14:paraId="70D20296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3181C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BE52" w14:textId="7CD3C15D" w:rsidR="002914CB" w:rsidRDefault="005804F0" w:rsidP="00D373ED">
            <w:pPr>
              <w:widowControl w:val="0"/>
              <w:spacing w:line="240" w:lineRule="auto"/>
            </w:pPr>
            <w:r>
              <w:t>Development tools database (entry)</w:t>
            </w:r>
          </w:p>
        </w:tc>
      </w:tr>
      <w:tr w:rsidR="002914CB" w14:paraId="603479F9" w14:textId="77777777" w:rsidTr="004B6E2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A3A8A" w14:textId="77777777" w:rsidR="002914CB" w:rsidRDefault="002914CB" w:rsidP="004B6E2C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9852" w14:textId="68009095" w:rsidR="002914CB" w:rsidRDefault="005804F0" w:rsidP="00D373ED">
            <w:pPr>
              <w:widowControl w:val="0"/>
              <w:spacing w:line="240" w:lineRule="auto"/>
            </w:pPr>
            <w:r>
              <w:t xml:space="preserve">Devops </w:t>
            </w:r>
            <w:r w:rsidR="002914CB">
              <w:t>SME</w:t>
            </w:r>
          </w:p>
        </w:tc>
      </w:tr>
    </w:tbl>
    <w:p w14:paraId="58382CC8" w14:textId="77BB9019" w:rsidR="002914CB" w:rsidRDefault="002914CB" w:rsidP="002914CB"/>
    <w:p w14:paraId="7194005F" w14:textId="209B9472" w:rsidR="004A03C5" w:rsidRDefault="009C202E" w:rsidP="004A03C5">
      <w:pPr>
        <w:jc w:val="center"/>
      </w:pPr>
      <w:r>
        <w:rPr>
          <w:noProof/>
        </w:rPr>
        <w:drawing>
          <wp:inline distT="0" distB="0" distL="0" distR="0" wp14:anchorId="0B9A8D1E" wp14:editId="6AABDE2E">
            <wp:extent cx="3677005" cy="444908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05" cy="44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205" w14:textId="77777777" w:rsidR="004A03C5" w:rsidRDefault="004A03C5" w:rsidP="002914CB"/>
    <w:p w14:paraId="6EDB66E4" w14:textId="7309F6BC" w:rsidR="00392F43" w:rsidRDefault="002914CB" w:rsidP="00392F43">
      <w:pPr>
        <w:jc w:val="both"/>
      </w:pPr>
      <w:r w:rsidRPr="002658B3">
        <w:t xml:space="preserve">The </w:t>
      </w:r>
      <w:r w:rsidR="00392F43">
        <w:t>Devops</w:t>
      </w:r>
      <w:r w:rsidRPr="002658B3">
        <w:t xml:space="preserve"> SME</w:t>
      </w:r>
      <w:r w:rsidR="00392F43">
        <w:t xml:space="preserve"> takes (or creates, if necessary) the</w:t>
      </w:r>
      <w:r w:rsidR="000839F0">
        <w:t xml:space="preserve"> metadata</w:t>
      </w:r>
      <w:r w:rsidR="00392F43">
        <w:t xml:space="preserve"> associated with the tool and creates an entry for it in the development tools database. The tool itself is then managed using standard best practices. A report documenting the tool ingest will be generated.</w:t>
      </w:r>
    </w:p>
    <w:p w14:paraId="7E1AE100" w14:textId="72072000" w:rsidR="002914CB" w:rsidRDefault="002914CB" w:rsidP="002914CB">
      <w:pPr>
        <w:jc w:val="both"/>
      </w:pPr>
    </w:p>
    <w:p w14:paraId="0EE76E8A" w14:textId="77777777" w:rsidR="004A03C5" w:rsidRDefault="004A03C5">
      <w:pPr>
        <w:rPr>
          <w:sz w:val="32"/>
          <w:szCs w:val="32"/>
        </w:rPr>
      </w:pPr>
      <w:r>
        <w:br w:type="page"/>
      </w:r>
    </w:p>
    <w:p w14:paraId="6EB8BD7A" w14:textId="7D8B6577" w:rsidR="00392F43" w:rsidRDefault="000839F0" w:rsidP="00392F43">
      <w:pPr>
        <w:pStyle w:val="Heading2"/>
      </w:pPr>
      <w:r>
        <w:lastRenderedPageBreak/>
        <w:t>Metadata</w:t>
      </w:r>
      <w:r w:rsidR="00392F43">
        <w:t xml:space="preserve"> Detail</w:t>
      </w:r>
    </w:p>
    <w:p w14:paraId="4CF29E44" w14:textId="1B216AD8" w:rsidR="000839F0" w:rsidRDefault="000839F0">
      <w:pPr>
        <w:jc w:val="both"/>
      </w:pPr>
      <w:r>
        <w:t>The preferred form of tool metadata is SPDX encoded JSON for software components (raw source / libraries) and SWID encoded JSON for executables.</w:t>
      </w:r>
    </w:p>
    <w:p w14:paraId="6C0C9AE9" w14:textId="77777777" w:rsidR="000839F0" w:rsidRDefault="000839F0">
      <w:pPr>
        <w:jc w:val="both"/>
      </w:pPr>
    </w:p>
    <w:p w14:paraId="0000000D" w14:textId="63A50661" w:rsidR="00FD6418" w:rsidRDefault="0032560B">
      <w:pPr>
        <w:jc w:val="both"/>
      </w:pPr>
      <w:r>
        <w:t>All software (tools</w:t>
      </w:r>
      <w:r w:rsidR="000839F0">
        <w:t xml:space="preserve"> and components</w:t>
      </w:r>
      <w:r>
        <w:t xml:space="preserve">) used in the development process will be tracked using a database containing the information necessary to generate ISO 19770-2:2015 </w:t>
      </w:r>
      <w:r w:rsidRPr="00910488">
        <w:rPr>
          <w:b/>
          <w:color w:val="0070C0"/>
          <w:vertAlign w:val="superscript"/>
        </w:rPr>
        <w:t>[2]</w:t>
      </w:r>
      <w:r>
        <w:t xml:space="preserve"> (SWID</w:t>
      </w:r>
      <w:r w:rsidR="007061F9">
        <w:t xml:space="preserve"> </w:t>
      </w:r>
      <w:r w:rsidRPr="00910488">
        <w:rPr>
          <w:b/>
          <w:color w:val="0070C0"/>
          <w:vertAlign w:val="superscript"/>
        </w:rPr>
        <w:t>[3]</w:t>
      </w:r>
      <w:r>
        <w:t>) documents.</w:t>
      </w:r>
      <w:r w:rsidR="002609BB">
        <w:t xml:space="preserve"> When software libraries are ingested their SPDX information is used.</w:t>
      </w:r>
    </w:p>
    <w:p w14:paraId="0000000E" w14:textId="77777777" w:rsidR="00FD6418" w:rsidRDefault="00FD6418">
      <w:pPr>
        <w:jc w:val="both"/>
      </w:pPr>
    </w:p>
    <w:p w14:paraId="2C11B606" w14:textId="6110FC1E" w:rsidR="002914CB" w:rsidRPr="00392F43" w:rsidRDefault="0032560B" w:rsidP="00392F43">
      <w:pPr>
        <w:jc w:val="both"/>
      </w:pPr>
      <w:r>
        <w:t>For each project</w:t>
      </w:r>
      <w:r w:rsidR="00E93915">
        <w:t>,</w:t>
      </w:r>
      <w:r>
        <w:t xml:space="preserve"> a database table will be created forming a collection of </w:t>
      </w:r>
      <w:r w:rsidR="000839F0">
        <w:t>project-specific</w:t>
      </w:r>
      <w:r>
        <w:t xml:space="preserve"> SWID entries.</w:t>
      </w:r>
      <w:bookmarkStart w:id="7" w:name="_3u7n3jz6dh" w:colFirst="0" w:colLast="0"/>
      <w:bookmarkEnd w:id="7"/>
    </w:p>
    <w:p w14:paraId="2010D7CA" w14:textId="77777777" w:rsidR="000839F0" w:rsidRDefault="000839F0">
      <w:pPr>
        <w:rPr>
          <w:sz w:val="40"/>
          <w:szCs w:val="40"/>
        </w:rPr>
      </w:pPr>
      <w:r>
        <w:br w:type="page"/>
      </w:r>
    </w:p>
    <w:p w14:paraId="00000012" w14:textId="3A9FD08F" w:rsidR="00FD6418" w:rsidRDefault="0032560B">
      <w:pPr>
        <w:pStyle w:val="Heading1"/>
      </w:pPr>
      <w:r>
        <w:lastRenderedPageBreak/>
        <w:t>References</w:t>
      </w:r>
    </w:p>
    <w:p w14:paraId="086BEBA1" w14:textId="77777777" w:rsidR="002609BB" w:rsidRDefault="0032560B" w:rsidP="002609BB">
      <w:pPr>
        <w:numPr>
          <w:ilvl w:val="0"/>
          <w:numId w:val="1"/>
        </w:numPr>
        <w:ind w:left="360"/>
      </w:pPr>
      <w:bookmarkStart w:id="8" w:name="SBOM_video"/>
      <w:bookmarkStart w:id="9" w:name="_Ref46731905"/>
      <w:r w:rsidRPr="00910488">
        <w:rPr>
          <w:b/>
          <w:bCs/>
        </w:rPr>
        <w:t>The Case for Software Bill of Materials</w:t>
      </w:r>
      <w:r>
        <w:t xml:space="preserve"> </w:t>
      </w:r>
      <w:bookmarkEnd w:id="8"/>
      <w:r>
        <w:t xml:space="preserve">[video 37m] </w:t>
      </w:r>
      <w:hyperlink r:id="rId13">
        <w:r>
          <w:rPr>
            <w:color w:val="1155CC"/>
            <w:u w:val="single"/>
          </w:rPr>
          <w:t>http://video.sonatype.com/watch/k1q2hYfAussHmetReM3Jbm</w:t>
        </w:r>
      </w:hyperlink>
      <w:bookmarkStart w:id="10" w:name="ISO_19770"/>
      <w:bookmarkStart w:id="11" w:name="_Ref46731912"/>
      <w:bookmarkEnd w:id="9"/>
    </w:p>
    <w:p w14:paraId="15D73403" w14:textId="1E85A732" w:rsidR="002609BB" w:rsidRPr="002609BB" w:rsidRDefault="002609BB" w:rsidP="002609BB">
      <w:pPr>
        <w:numPr>
          <w:ilvl w:val="0"/>
          <w:numId w:val="1"/>
        </w:numPr>
        <w:ind w:left="360"/>
      </w:pPr>
      <w:r w:rsidRPr="002609BB">
        <w:rPr>
          <w:b/>
          <w:bCs/>
        </w:rPr>
        <w:t>Software Package Data Exchange® (SPDX®)</w:t>
      </w:r>
      <w:r w:rsidRPr="0043029A">
        <w:br/>
      </w:r>
      <w:hyperlink r:id="rId14" w:history="1">
        <w:r w:rsidRPr="00A40872">
          <w:rPr>
            <w:rStyle w:val="Hyperlink"/>
          </w:rPr>
          <w:t>https://spdx.dev/wp-content/uploads/sites/41/2017/12/spdxversion2.1.pdf</w:t>
        </w:r>
      </w:hyperlink>
    </w:p>
    <w:p w14:paraId="00000015" w14:textId="77777777" w:rsidR="00FD6418" w:rsidRDefault="0032560B" w:rsidP="00F12164">
      <w:pPr>
        <w:numPr>
          <w:ilvl w:val="0"/>
          <w:numId w:val="1"/>
        </w:numPr>
        <w:ind w:left="360"/>
      </w:pPr>
      <w:r>
        <w:t xml:space="preserve">ISO 19770-2:2015 </w:t>
      </w:r>
      <w:bookmarkEnd w:id="10"/>
      <w:r>
        <w:rPr>
          <w:b/>
        </w:rPr>
        <w:t>Information technology - IT asset management - Part 2: Software identification tag</w:t>
      </w:r>
      <w:r>
        <w:rPr>
          <w:b/>
        </w:rPr>
        <w:br/>
      </w:r>
      <w:hyperlink r:id="rId15">
        <w:r>
          <w:rPr>
            <w:color w:val="1155CC"/>
            <w:u w:val="single"/>
          </w:rPr>
          <w:t>https://www.iso.org/standard/65666.html</w:t>
        </w:r>
      </w:hyperlink>
      <w:bookmarkEnd w:id="11"/>
    </w:p>
    <w:p w14:paraId="00000016" w14:textId="3A52E35F" w:rsidR="00FD6418" w:rsidRDefault="0032560B" w:rsidP="00F12164">
      <w:pPr>
        <w:numPr>
          <w:ilvl w:val="0"/>
          <w:numId w:val="1"/>
        </w:numPr>
        <w:ind w:left="360"/>
      </w:pPr>
      <w:bookmarkStart w:id="12" w:name="NIST_IR_8060"/>
      <w:bookmarkStart w:id="13" w:name="_Ref46731916"/>
      <w:r>
        <w:t>NIST</w:t>
      </w:r>
      <w:r w:rsidR="007061F9">
        <w:t xml:space="preserve"> </w:t>
      </w:r>
      <w:r>
        <w:t xml:space="preserve">IR 8060 </w:t>
      </w:r>
      <w:bookmarkEnd w:id="12"/>
      <w:r>
        <w:rPr>
          <w:b/>
        </w:rPr>
        <w:t>Guidelines for the Creation of Interoperable Software Identification (SWID) Tags</w:t>
      </w:r>
      <w:r>
        <w:br/>
      </w:r>
      <w:hyperlink r:id="rId16">
        <w:r>
          <w:rPr>
            <w:color w:val="1155CC"/>
            <w:u w:val="single"/>
          </w:rPr>
          <w:t>https://nvlpubs.nist.gov/nistpubs/ir/2016/NIST.IR.8060.pdf</w:t>
        </w:r>
      </w:hyperlink>
      <w:bookmarkEnd w:id="13"/>
    </w:p>
    <w:sectPr w:rsidR="00FD64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DD9C6" w14:textId="77777777" w:rsidR="00C24746" w:rsidRDefault="00C24746" w:rsidP="00702731">
      <w:pPr>
        <w:spacing w:line="240" w:lineRule="auto"/>
      </w:pPr>
      <w:r>
        <w:separator/>
      </w:r>
    </w:p>
  </w:endnote>
  <w:endnote w:type="continuationSeparator" w:id="0">
    <w:p w14:paraId="7B6C18D0" w14:textId="77777777" w:rsidR="00C24746" w:rsidRDefault="00C24746" w:rsidP="00702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1B62D" w14:textId="77777777" w:rsidR="00C24746" w:rsidRDefault="00C24746" w:rsidP="00702731">
      <w:pPr>
        <w:spacing w:line="240" w:lineRule="auto"/>
      </w:pPr>
      <w:r>
        <w:separator/>
      </w:r>
    </w:p>
  </w:footnote>
  <w:footnote w:type="continuationSeparator" w:id="0">
    <w:p w14:paraId="5F8F34F4" w14:textId="77777777" w:rsidR="00C24746" w:rsidRDefault="00C24746" w:rsidP="007027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764E1"/>
    <w:multiLevelType w:val="multilevel"/>
    <w:tmpl w:val="8C9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167EB9"/>
    <w:multiLevelType w:val="hybridMultilevel"/>
    <w:tmpl w:val="94EC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18"/>
    <w:rsid w:val="000502B2"/>
    <w:rsid w:val="000839F0"/>
    <w:rsid w:val="001502DB"/>
    <w:rsid w:val="001B2304"/>
    <w:rsid w:val="0023387F"/>
    <w:rsid w:val="00234E18"/>
    <w:rsid w:val="002609BB"/>
    <w:rsid w:val="002914CB"/>
    <w:rsid w:val="0032560B"/>
    <w:rsid w:val="00392F43"/>
    <w:rsid w:val="003C6E8A"/>
    <w:rsid w:val="003E4AA0"/>
    <w:rsid w:val="004A03C5"/>
    <w:rsid w:val="004B6E2C"/>
    <w:rsid w:val="00531580"/>
    <w:rsid w:val="00545B59"/>
    <w:rsid w:val="00552C28"/>
    <w:rsid w:val="00566D4D"/>
    <w:rsid w:val="005804F0"/>
    <w:rsid w:val="00656AC0"/>
    <w:rsid w:val="006C6952"/>
    <w:rsid w:val="00702731"/>
    <w:rsid w:val="007061F9"/>
    <w:rsid w:val="00741B12"/>
    <w:rsid w:val="00847A93"/>
    <w:rsid w:val="0088074A"/>
    <w:rsid w:val="009051A9"/>
    <w:rsid w:val="00910488"/>
    <w:rsid w:val="00926E83"/>
    <w:rsid w:val="00971817"/>
    <w:rsid w:val="009930D9"/>
    <w:rsid w:val="009C202E"/>
    <w:rsid w:val="00A21CDD"/>
    <w:rsid w:val="00C24746"/>
    <w:rsid w:val="00C854B9"/>
    <w:rsid w:val="00D205F0"/>
    <w:rsid w:val="00D632E9"/>
    <w:rsid w:val="00DE43F6"/>
    <w:rsid w:val="00E76D61"/>
    <w:rsid w:val="00E93915"/>
    <w:rsid w:val="00F12164"/>
    <w:rsid w:val="00F9219A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F41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3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31"/>
    <w:rPr>
      <w:rFonts w:ascii="Times New Roman" w:hAnsi="Times New Roman" w:cs="Times New Roman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73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7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27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61F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1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1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061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9BB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930D9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9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hyperlink" Target="http://video.sonatype.com/watch/k1q2hYfAussHmetReM3Jb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vlpubs.nist.gov/nistpubs/ir/2016/NIST.IR.806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so.org/standard/65666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pdx.dev/wp-content/uploads/sites/41/2017/12/spdxversion2.1.pdf" TargetMode="Externa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019B-A9AA-544B-BEC7-64CA8700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606</Words>
  <Characters>3419</Characters>
  <Application>Microsoft Office Word</Application>
  <DocSecurity>0</DocSecurity>
  <Lines>58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7</cp:revision>
  <dcterms:created xsi:type="dcterms:W3CDTF">2021-06-09T13:31:00Z</dcterms:created>
  <dcterms:modified xsi:type="dcterms:W3CDTF">2021-11-15T14:05:00Z</dcterms:modified>
</cp:coreProperties>
</file>