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13C39C9E" w:rsidR="00212F89" w:rsidRPr="00212F89" w:rsidRDefault="00212F89" w:rsidP="00212F89">
      <w:r>
        <w:t xml:space="preserve">Version </w:t>
      </w:r>
      <w:r w:rsidR="007D0B70">
        <w:t>1</w:t>
      </w:r>
      <w:r w:rsidR="00A05205">
        <w:t>4</w:t>
      </w:r>
    </w:p>
    <w:p w14:paraId="6120F457" w14:textId="6221449E" w:rsidR="00F66F92" w:rsidRDefault="00142223">
      <w:pPr>
        <w:jc w:val="both"/>
      </w:pPr>
      <w:r>
        <w:fldChar w:fldCharType="begin"/>
      </w:r>
      <w:r>
        <w:instrText xml:space="preserve"> DATE \@ "M/d/yy h:mm am/pm" </w:instrText>
      </w:r>
      <w:r>
        <w:fldChar w:fldCharType="separate"/>
      </w:r>
      <w:r w:rsidR="00216FF3">
        <w:rPr>
          <w:noProof/>
        </w:rPr>
        <w:t>10/2/23 10:47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14731172"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w:t>
      </w:r>
      <w:r w:rsidR="007D0B70">
        <w:rPr>
          <w:b/>
          <w:bCs/>
        </w:rPr>
        <w:t>/SAE</w:t>
      </w:r>
      <w:r w:rsidR="00E97DAD" w:rsidRPr="009106A1">
        <w:rPr>
          <w:b/>
          <w:bCs/>
        </w:rPr>
        <w:t xml:space="preserve">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000000" w:rsidP="00212F89">
      <w:pPr>
        <w:pStyle w:val="FirstParagraph"/>
        <w:jc w:val="both"/>
      </w:pPr>
      <w:hyperlink r:id="rId8"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2679686F" w:rsidR="00F66F92" w:rsidRDefault="00B7156C" w:rsidP="00B7156C">
      <w:pPr>
        <w:ind w:left="720" w:hanging="720"/>
      </w:pPr>
      <w:r w:rsidRPr="00B7156C">
        <w:rPr>
          <w:b/>
          <w:bCs/>
          <w:color w:val="0070C0"/>
        </w:rPr>
        <w:t>Note:</w:t>
      </w:r>
      <w:r>
        <w:tab/>
        <w:t xml:space="preserve">The </w:t>
      </w:r>
      <w:r w:rsidR="007D0B70">
        <w:t xml:space="preserve">above </w:t>
      </w:r>
      <w:r>
        <w:t xml:space="preserve">methodology follows that described in guidance from NIST SP 800-30 </w:t>
      </w:r>
      <w:r w:rsidRPr="00B7156C">
        <w:rPr>
          <w:b/>
          <w:bCs/>
          <w:color w:val="0070C0"/>
          <w:vertAlign w:val="superscript"/>
        </w:rPr>
        <w:t>[</w:t>
      </w:r>
      <w:r w:rsidR="0040539E">
        <w:rPr>
          <w:b/>
          <w:bCs/>
          <w:color w:val="0070C0"/>
          <w:vertAlign w:val="superscript"/>
        </w:rPr>
        <w:t>9</w:t>
      </w:r>
      <w:r w:rsidRPr="00B7156C">
        <w:rPr>
          <w:b/>
          <w:bCs/>
          <w:color w:val="0070C0"/>
          <w:vertAlign w:val="superscript"/>
        </w:rPr>
        <w:t>]</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3FB951CD">
            <wp:extent cx="4931410" cy="4521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933050" cy="452281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AAAB85A">
            <wp:extent cx="5918763" cy="3681181"/>
            <wp:effectExtent l="0" t="0" r="0" b="190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18763" cy="3681181"/>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11C2BE5D" w:rsidR="00F66F92" w:rsidRDefault="00E54CE4" w:rsidP="00795567">
      <w:pPr>
        <w:spacing w:after="240"/>
        <w:jc w:val="both"/>
      </w:pPr>
      <w:r>
        <w:t>Here we are showing the values from ranking</w:t>
      </w:r>
      <w:r w:rsidR="00661810">
        <w:t xml:space="preserve"> (likelihood)</w:t>
      </w:r>
      <w:r>
        <w:t xml:space="preserve"> and risk</w:t>
      </w:r>
      <w:r w:rsidR="00661810">
        <w:t>ing (impact)</w:t>
      </w:r>
      <w:r>
        <w:t xml:space="preserve"> as continuous. The level of risk control is also shown as continuous from white (completely controlled) to black (completely uncontrolled). In practice, </w:t>
      </w:r>
      <w:r w:rsidR="00661810">
        <w:t xml:space="preserve">all of these values are </w:t>
      </w:r>
      <w:r>
        <w:t>quantized. Finally, our desire is to bisect the space by choosing a minimum level of acceptable risk. This yields a line</w:t>
      </w:r>
      <w:r w:rsidR="00661810">
        <w:t xml:space="preserve"> (risk appetite)</w:t>
      </w:r>
      <w:r>
        <w:t xml:space="preserve"> through the exploitability-severity space above which threats are deemed to be</w:t>
      </w:r>
      <w:r w:rsidR="00661810">
        <w:t xml:space="preserve"> uncontrolled</w:t>
      </w:r>
      <w:r>
        <w:t xml:space="preserve"> </w:t>
      </w:r>
      <w:r w:rsidR="00661810">
        <w:t>(</w:t>
      </w:r>
      <w:r>
        <w:t>in need of mitigation</w:t>
      </w:r>
      <w:r w:rsidR="00661810">
        <w:t>), as</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194F307E" w14:textId="329CA3F7" w:rsidR="00D20E80" w:rsidRDefault="00D20E80" w:rsidP="00D20E80">
      <w:pPr>
        <w:pStyle w:val="Heading1"/>
      </w:pPr>
      <w:r>
        <w:lastRenderedPageBreak/>
        <w:t>Multi-risk Domain Considerations</w:t>
      </w:r>
    </w:p>
    <w:p w14:paraId="0E040973" w14:textId="60ADE4C3" w:rsidR="00D20E80" w:rsidRDefault="00D20E80" w:rsidP="00D20E80">
      <w:pPr>
        <w:jc w:val="both"/>
      </w:pPr>
      <w:r>
        <w:t xml:space="preserve">In those situations where multiple risk domains need to be taken into consideration, such as those specified in </w:t>
      </w:r>
      <w:r w:rsidRPr="00D20E80">
        <w:rPr>
          <w:b/>
          <w:bCs/>
        </w:rPr>
        <w:t>EVITA</w:t>
      </w:r>
      <w:r>
        <w:t xml:space="preserve"> </w:t>
      </w:r>
      <w:r w:rsidRPr="00D20E80">
        <w:rPr>
          <w:b/>
          <w:bCs/>
          <w:color w:val="0070C0"/>
          <w:vertAlign w:val="superscript"/>
        </w:rPr>
        <w:t>[11]</w:t>
      </w:r>
      <w:r>
        <w:t>, the following diagram illustrates the process to be used:</w:t>
      </w:r>
    </w:p>
    <w:p w14:paraId="4BEB32AE" w14:textId="0278775E" w:rsidR="00D20E80" w:rsidRDefault="00D20E80" w:rsidP="00D20E80">
      <w:pPr>
        <w:pStyle w:val="Heading2"/>
        <w:jc w:val="center"/>
      </w:pPr>
      <w:r>
        <w:rPr>
          <w:noProof/>
        </w:rPr>
        <w:drawing>
          <wp:inline distT="0" distB="0" distL="0" distR="0" wp14:anchorId="6287FB68" wp14:editId="525C19E9">
            <wp:extent cx="5864205" cy="3829685"/>
            <wp:effectExtent l="0" t="0" r="0" b="5715"/>
            <wp:docPr id="56257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195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4205" cy="3829685"/>
                    </a:xfrm>
                    <a:prstGeom prst="rect">
                      <a:avLst/>
                    </a:prstGeom>
                  </pic:spPr>
                </pic:pic>
              </a:graphicData>
            </a:graphic>
          </wp:inline>
        </w:drawing>
      </w:r>
    </w:p>
    <w:p w14:paraId="5DEE956A" w14:textId="59ADDAF8" w:rsidR="00D20E80" w:rsidRDefault="006F139D">
      <w:pPr>
        <w:rPr>
          <w:sz w:val="40"/>
          <w:szCs w:val="40"/>
        </w:rPr>
      </w:pPr>
      <w:r>
        <w:t>Here we see that in addition to the risk and slicing processes being replicated for each of the risk domain, the output of these must be consolidated and the threat de-duplicated.</w:t>
      </w:r>
      <w:r w:rsidR="00D20E80">
        <w:br w:type="page"/>
      </w:r>
    </w:p>
    <w:p w14:paraId="573A317C" w14:textId="7F56F254" w:rsidR="00D20E80" w:rsidRDefault="00D20E80" w:rsidP="00D20E80">
      <w:pPr>
        <w:pStyle w:val="Heading2"/>
      </w:pPr>
      <w:r>
        <w:lastRenderedPageBreak/>
        <w:t>Consolidate Risk Domains</w:t>
      </w:r>
    </w:p>
    <w:p w14:paraId="6E895150" w14:textId="77777777" w:rsidR="00D20E80" w:rsidRDefault="00D20E80" w:rsidP="00D20E80"/>
    <w:tbl>
      <w:tblPr>
        <w:tblStyle w:val="a3"/>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D20E80" w14:paraId="64FF5906" w14:textId="77777777" w:rsidTr="00D20E80">
        <w:tc>
          <w:tcPr>
            <w:tcW w:w="1520" w:type="dxa"/>
            <w:shd w:val="clear" w:color="auto" w:fill="auto"/>
            <w:tcMar>
              <w:top w:w="100" w:type="dxa"/>
              <w:left w:w="100" w:type="dxa"/>
              <w:bottom w:w="100" w:type="dxa"/>
              <w:right w:w="100" w:type="dxa"/>
            </w:tcMar>
            <w:vAlign w:val="center"/>
          </w:tcPr>
          <w:p w14:paraId="25016027" w14:textId="77777777" w:rsidR="00D20E80" w:rsidRPr="003263B9" w:rsidRDefault="00D20E80" w:rsidP="00255125">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40D275D6" w14:textId="37C8C820" w:rsidR="00D20E80" w:rsidRDefault="00D20E80" w:rsidP="00255125">
            <w:pPr>
              <w:widowControl w:val="0"/>
              <w:spacing w:line="240" w:lineRule="auto"/>
            </w:pPr>
            <w:r>
              <w:t>Uncontrolled threats (all domains)</w:t>
            </w:r>
          </w:p>
        </w:tc>
      </w:tr>
      <w:tr w:rsidR="00D20E80" w14:paraId="6CB05408" w14:textId="77777777" w:rsidTr="00D20E80">
        <w:tc>
          <w:tcPr>
            <w:tcW w:w="1520" w:type="dxa"/>
            <w:shd w:val="clear" w:color="auto" w:fill="auto"/>
            <w:tcMar>
              <w:top w:w="100" w:type="dxa"/>
              <w:left w:w="100" w:type="dxa"/>
              <w:bottom w:w="100" w:type="dxa"/>
              <w:right w:w="100" w:type="dxa"/>
            </w:tcMar>
            <w:vAlign w:val="center"/>
          </w:tcPr>
          <w:p w14:paraId="3307238E" w14:textId="77777777" w:rsidR="00D20E80" w:rsidRPr="003263B9" w:rsidRDefault="00D20E80" w:rsidP="00255125">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33EBD966" w14:textId="6ECEC01D" w:rsidR="00D20E80" w:rsidRDefault="00D20E80" w:rsidP="00255125">
            <w:pPr>
              <w:widowControl w:val="0"/>
              <w:spacing w:line="240" w:lineRule="auto"/>
            </w:pPr>
            <w:r>
              <w:t>Consolidated uncontrolled threats</w:t>
            </w:r>
          </w:p>
          <w:p w14:paraId="79FFFD96" w14:textId="6F73625F" w:rsidR="00D20E80" w:rsidRDefault="00D20E80" w:rsidP="00255125">
            <w:pPr>
              <w:widowControl w:val="0"/>
              <w:spacing w:line="240" w:lineRule="auto"/>
            </w:pPr>
            <w:r>
              <w:t>Consolidated threat report</w:t>
            </w:r>
          </w:p>
        </w:tc>
      </w:tr>
      <w:tr w:rsidR="00D20E80" w14:paraId="727A7759" w14:textId="77777777" w:rsidTr="00D20E80">
        <w:tc>
          <w:tcPr>
            <w:tcW w:w="1520" w:type="dxa"/>
            <w:shd w:val="clear" w:color="auto" w:fill="auto"/>
            <w:tcMar>
              <w:top w:w="100" w:type="dxa"/>
              <w:left w:w="100" w:type="dxa"/>
              <w:bottom w:w="100" w:type="dxa"/>
              <w:right w:w="100" w:type="dxa"/>
            </w:tcMar>
            <w:vAlign w:val="center"/>
          </w:tcPr>
          <w:p w14:paraId="4394B084" w14:textId="77777777" w:rsidR="00D20E80" w:rsidRPr="003263B9" w:rsidRDefault="00D20E80" w:rsidP="00255125">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3A448A4D" w14:textId="29D1FB9C" w:rsidR="00D20E80" w:rsidRDefault="00D20E80" w:rsidP="00255125">
            <w:pPr>
              <w:widowControl w:val="0"/>
              <w:spacing w:line="240" w:lineRule="auto"/>
            </w:pPr>
            <w:r>
              <w:t>Security SME</w:t>
            </w:r>
          </w:p>
        </w:tc>
      </w:tr>
    </w:tbl>
    <w:p w14:paraId="5F418731" w14:textId="77777777" w:rsidR="00D20E80" w:rsidRDefault="00D20E80" w:rsidP="00D20E80"/>
    <w:p w14:paraId="6FEC585C" w14:textId="77777777" w:rsidR="00D20E80" w:rsidRDefault="00D20E80" w:rsidP="00D20E80">
      <w:pPr>
        <w:jc w:val="center"/>
      </w:pPr>
      <w:r>
        <w:rPr>
          <w:noProof/>
        </w:rPr>
        <w:drawing>
          <wp:inline distT="0" distB="0" distL="0" distR="0" wp14:anchorId="04A275D5" wp14:editId="04A3794A">
            <wp:extent cx="5185000" cy="4553693"/>
            <wp:effectExtent l="0" t="0" r="0" b="5715"/>
            <wp:docPr id="83880052" name="Picture 8388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0052" name="Picture 83880052"/>
                    <pic:cNvPicPr/>
                  </pic:nvPicPr>
                  <pic:blipFill>
                    <a:blip r:embed="rId15">
                      <a:extLst>
                        <a:ext uri="{28A0092B-C50C-407E-A947-70E740481C1C}">
                          <a14:useLocalDpi xmlns:a14="http://schemas.microsoft.com/office/drawing/2010/main" val="0"/>
                        </a:ext>
                      </a:extLst>
                    </a:blip>
                    <a:stretch>
                      <a:fillRect/>
                    </a:stretch>
                  </pic:blipFill>
                  <pic:spPr>
                    <a:xfrm>
                      <a:off x="0" y="0"/>
                      <a:ext cx="5185000" cy="4553693"/>
                    </a:xfrm>
                    <a:prstGeom prst="rect">
                      <a:avLst/>
                    </a:prstGeom>
                  </pic:spPr>
                </pic:pic>
              </a:graphicData>
            </a:graphic>
          </wp:inline>
        </w:drawing>
      </w:r>
    </w:p>
    <w:p w14:paraId="5906C166" w14:textId="77777777" w:rsidR="00D20E80" w:rsidRDefault="00D20E80" w:rsidP="00D20E80"/>
    <w:p w14:paraId="7336492F" w14:textId="2CB236B0" w:rsidR="00D20E80" w:rsidRDefault="006F139D" w:rsidP="006F139D">
      <w:pPr>
        <w:spacing w:after="240"/>
        <w:jc w:val="both"/>
      </w:pPr>
      <w:r>
        <w:t xml:space="preserve">The </w:t>
      </w:r>
      <w:r w:rsidRPr="006F139D">
        <w:rPr>
          <w:b/>
          <w:bCs/>
        </w:rPr>
        <w:t>uncontrolled threats</w:t>
      </w:r>
      <w:r>
        <w:t xml:space="preserve"> from all risk domains </w:t>
      </w:r>
      <w:r w:rsidR="00D20E80">
        <w:t xml:space="preserve">are </w:t>
      </w:r>
      <w:r>
        <w:t>consolidated</w:t>
      </w:r>
      <w:r w:rsidR="00D20E80">
        <w:t xml:space="preserve"> by the </w:t>
      </w:r>
      <w:r>
        <w:t>security</w:t>
      </w:r>
      <w:r w:rsidR="00D20E80">
        <w:t xml:space="preserve"> SM</w:t>
      </w:r>
      <w:r>
        <w:t>E</w:t>
      </w:r>
      <w:r w:rsidR="00D20E80">
        <w:t>.</w:t>
      </w:r>
      <w:r>
        <w:t xml:space="preserve"> This results in the creation of a set of </w:t>
      </w:r>
      <w:r w:rsidRPr="006F139D">
        <w:rPr>
          <w:b/>
          <w:bCs/>
        </w:rPr>
        <w:t>consolidated uncontrolled threats</w:t>
      </w:r>
      <w:r>
        <w:t xml:space="preserve"> and</w:t>
      </w:r>
      <w:r w:rsidR="00D20E80">
        <w:t xml:space="preserve"> </w:t>
      </w:r>
      <w:r>
        <w:t>a</w:t>
      </w:r>
      <w:r w:rsidR="00D20E80">
        <w:t xml:space="preserve"> </w:t>
      </w:r>
      <w:r>
        <w:rPr>
          <w:b/>
          <w:bCs/>
        </w:rPr>
        <w:t>consolidated</w:t>
      </w:r>
      <w:r w:rsidR="00D20E80" w:rsidRPr="003263B9">
        <w:rPr>
          <w:b/>
          <w:bCs/>
        </w:rPr>
        <w:t xml:space="preserve"> threat report</w:t>
      </w:r>
      <w:r w:rsidR="00D20E80">
        <w:t>.</w:t>
      </w:r>
      <w:r>
        <w:t xml:space="preserve"> The consolidated uncontrolled threats are entered into the </w:t>
      </w:r>
      <w:r w:rsidRPr="006F139D">
        <w:rPr>
          <w:b/>
          <w:bCs/>
        </w:rPr>
        <w:t>issue tracking system</w:t>
      </w:r>
      <w:r>
        <w:t>.</w:t>
      </w:r>
    </w:p>
    <w:p w14:paraId="58F96E86" w14:textId="0F170FAA" w:rsidR="006F139D" w:rsidRPr="00795567" w:rsidRDefault="006F139D" w:rsidP="006F139D">
      <w:pPr>
        <w:spacing w:after="240"/>
        <w:ind w:left="720" w:hanging="720"/>
        <w:jc w:val="both"/>
      </w:pPr>
      <w:r w:rsidRPr="00866A81">
        <w:rPr>
          <w:b/>
          <w:bCs/>
          <w:color w:val="0070C0"/>
        </w:rPr>
        <w:t>Note:</w:t>
      </w:r>
      <w:r>
        <w:tab/>
      </w:r>
      <w:r w:rsidR="005F3EF1">
        <w:t>The consolidated uncontrolled threats should be deduplicated</w:t>
      </w:r>
      <w:r w:rsidRPr="00BB59E3">
        <w:rPr>
          <w:b/>
          <w:bCs/>
        </w:rPr>
        <w:t>.</w:t>
      </w:r>
    </w:p>
    <w:p w14:paraId="04CA12A7" w14:textId="77777777" w:rsidR="00D20E80" w:rsidRDefault="00D20E80">
      <w:pPr>
        <w:rPr>
          <w:sz w:val="40"/>
          <w:szCs w:val="40"/>
        </w:rPr>
      </w:pPr>
      <w:r>
        <w:br w:type="page"/>
      </w:r>
    </w:p>
    <w:p w14:paraId="36DB5E86" w14:textId="5C214E6A" w:rsidR="00F66F92" w:rsidRDefault="00E54CE4">
      <w:pPr>
        <w:pStyle w:val="Heading1"/>
      </w:pPr>
      <w:r>
        <w:lastRenderedPageBreak/>
        <w:t>References</w:t>
      </w:r>
    </w:p>
    <w:p w14:paraId="18C61246" w14:textId="74A346D7" w:rsidR="00F66F92" w:rsidRPr="007D0B70" w:rsidRDefault="00E54CE4" w:rsidP="003263B9">
      <w:pPr>
        <w:numPr>
          <w:ilvl w:val="0"/>
          <w:numId w:val="1"/>
        </w:numPr>
        <w:ind w:left="360"/>
      </w:pPr>
      <w:bookmarkStart w:id="15" w:name="ref_01"/>
      <w:bookmarkEnd w:id="15"/>
      <w:r w:rsidRPr="00E97DAD">
        <w:rPr>
          <w:b/>
          <w:bCs/>
        </w:rPr>
        <w:t>Document Management Standard</w:t>
      </w:r>
    </w:p>
    <w:p w14:paraId="0806C9D9" w14:textId="7843FBA8" w:rsidR="007D0B70" w:rsidRPr="007D0B70" w:rsidRDefault="00000000" w:rsidP="007D0B70">
      <w:pPr>
        <w:ind w:left="360"/>
        <w:rPr>
          <w:rFonts w:ascii="Courier New" w:hAnsi="Courier New" w:cs="Courier New"/>
          <w:b/>
          <w:bCs/>
          <w:sz w:val="20"/>
          <w:szCs w:val="20"/>
        </w:rPr>
      </w:pPr>
      <w:hyperlink r:id="rId16" w:history="1">
        <w:r w:rsidR="007D0B70" w:rsidRPr="007D0B70">
          <w:rPr>
            <w:rStyle w:val="Hyperlink"/>
            <w:rFonts w:ascii="Courier New" w:hAnsi="Courier New" w:cs="Courier New"/>
            <w:b/>
            <w:bCs/>
            <w:sz w:val="20"/>
            <w:szCs w:val="20"/>
          </w:rPr>
          <w:t>https://en.wikipedia.org/wiki/Document_management_system</w:t>
        </w:r>
      </w:hyperlink>
      <w:r w:rsidR="007D0B70" w:rsidRPr="007D0B70">
        <w:rPr>
          <w:rFonts w:ascii="Courier New" w:hAnsi="Courier New" w:cs="Courier New"/>
          <w:b/>
          <w:bCs/>
          <w:sz w:val="20"/>
          <w:szCs w:val="20"/>
        </w:rPr>
        <w:t xml:space="preserve"> </w:t>
      </w:r>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5BF0244B"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7" w:history="1">
        <w:r w:rsidR="00D42605" w:rsidRPr="006E02BA">
          <w:rPr>
            <w:rStyle w:val="Hyperlink"/>
            <w:rFonts w:ascii="Courier New" w:hAnsi="Courier New" w:cs="Courier New"/>
            <w:b/>
            <w:bCs/>
            <w:sz w:val="20"/>
            <w:szCs w:val="20"/>
          </w:rPr>
          <w:t>https://www.first.org/cvss/</w:t>
        </w:r>
      </w:hyperlink>
      <w:r w:rsidR="00D42605">
        <w:rPr>
          <w:rStyle w:val="Hyperlink"/>
          <w:rFonts w:ascii="Courier New" w:hAnsi="Courier New" w:cs="Courier New"/>
          <w:b/>
          <w:bCs/>
          <w:color w:val="auto"/>
          <w:sz w:val="20"/>
          <w:szCs w:val="20"/>
          <w:u w:val="none"/>
        </w:rPr>
        <w:t xml:space="preserve"> </w:t>
      </w:r>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8"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9"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D20E80"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20" w:history="1">
        <w:r w:rsidRPr="008E6D25">
          <w:rPr>
            <w:rStyle w:val="Hyperlink"/>
            <w:rFonts w:ascii="Courier New" w:hAnsi="Courier New" w:cs="Courier New"/>
            <w:b/>
            <w:bCs/>
            <w:sz w:val="20"/>
            <w:szCs w:val="20"/>
            <w:lang w:val="en-US"/>
          </w:rPr>
          <w:t>https://www.fda.gov/regulatory-information/search-fda-guidance-documents/postmarket-management-cybersecurity-medical-devices</w:t>
        </w:r>
      </w:hyperlink>
      <w:r>
        <w:rPr>
          <w:rFonts w:ascii="Courier New" w:hAnsi="Courier New" w:cs="Courier New"/>
          <w:b/>
          <w:bCs/>
          <w:sz w:val="20"/>
          <w:szCs w:val="20"/>
          <w:lang w:val="en-US"/>
        </w:rPr>
        <w:t xml:space="preserve"> </w:t>
      </w:r>
    </w:p>
    <w:p w14:paraId="645D65E9" w14:textId="12ED1BFD" w:rsidR="00D20E80" w:rsidRPr="00D20E80" w:rsidRDefault="006F139D" w:rsidP="00D20E80">
      <w:pPr>
        <w:numPr>
          <w:ilvl w:val="0"/>
          <w:numId w:val="1"/>
        </w:numPr>
        <w:ind w:left="360"/>
        <w:rPr>
          <w:b/>
          <w:bCs/>
          <w:lang w:val="en-US"/>
        </w:rPr>
      </w:pPr>
      <w:r>
        <w:rPr>
          <w:b/>
          <w:bCs/>
          <w:lang w:val="en-US"/>
        </w:rPr>
        <w:t>EVITA D2.3 Security requirements for automotive on-board networks based on dark-side scenarios</w:t>
      </w:r>
      <w:r w:rsidR="00D20E80">
        <w:rPr>
          <w:b/>
          <w:bCs/>
          <w:lang w:val="en-US"/>
        </w:rPr>
        <w:br/>
      </w:r>
      <w:hyperlink r:id="rId21" w:history="1">
        <w:r w:rsidRPr="00E76FE4">
          <w:rPr>
            <w:rStyle w:val="Hyperlink"/>
            <w:rFonts w:ascii="Courier New" w:hAnsi="Courier New" w:cs="Courier New"/>
            <w:b/>
            <w:bCs/>
            <w:sz w:val="20"/>
            <w:szCs w:val="20"/>
            <w:lang w:val="en-US"/>
          </w:rPr>
          <w:t>https://zenodo.org/record/1188418/files/EVITAD2.3v1.1.pdf</w:t>
        </w:r>
      </w:hyperlink>
      <w:r>
        <w:rPr>
          <w:rFonts w:ascii="Courier New" w:hAnsi="Courier New" w:cs="Courier New"/>
          <w:b/>
          <w:bCs/>
          <w:sz w:val="20"/>
          <w:szCs w:val="20"/>
          <w:lang w:val="en-US"/>
        </w:rPr>
        <w:t xml:space="preserve"> </w:t>
      </w:r>
    </w:p>
    <w:sectPr w:rsidR="00D20E80" w:rsidRPr="00D20E80" w:rsidSect="00C42DB3">
      <w:footerReference w:type="even" r:id="rId22"/>
      <w:foot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C0C0" w14:textId="77777777" w:rsidR="001157F5" w:rsidRDefault="001157F5" w:rsidP="00C42DB3">
      <w:pPr>
        <w:spacing w:line="240" w:lineRule="auto"/>
      </w:pPr>
      <w:r>
        <w:separator/>
      </w:r>
    </w:p>
  </w:endnote>
  <w:endnote w:type="continuationSeparator" w:id="0">
    <w:p w14:paraId="077C433D" w14:textId="77777777" w:rsidR="001157F5" w:rsidRDefault="001157F5" w:rsidP="00C4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38035"/>
      <w:docPartObj>
        <w:docPartGallery w:val="Page Numbers (Bottom of Page)"/>
        <w:docPartUnique/>
      </w:docPartObj>
    </w:sdtPr>
    <w:sdtContent>
      <w:p w14:paraId="59844A41" w14:textId="4DD72C73"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26E76F1" w14:textId="77777777" w:rsidR="00C42DB3" w:rsidRDefault="00C42DB3" w:rsidP="00C4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310088"/>
      <w:docPartObj>
        <w:docPartGallery w:val="Page Numbers (Bottom of Page)"/>
        <w:docPartUnique/>
      </w:docPartObj>
    </w:sdtPr>
    <w:sdtContent>
      <w:p w14:paraId="1CC5B4C1" w14:textId="42FD8C25"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C23E024" w14:textId="77777777" w:rsidR="00C42DB3" w:rsidRDefault="00C42DB3" w:rsidP="00C4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F485" w14:textId="77777777" w:rsidR="001157F5" w:rsidRDefault="001157F5" w:rsidP="00C42DB3">
      <w:pPr>
        <w:spacing w:line="240" w:lineRule="auto"/>
      </w:pPr>
      <w:r>
        <w:separator/>
      </w:r>
    </w:p>
  </w:footnote>
  <w:footnote w:type="continuationSeparator" w:id="0">
    <w:p w14:paraId="12DF1882" w14:textId="77777777" w:rsidR="001157F5" w:rsidRDefault="001157F5" w:rsidP="00C4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4119" w14:textId="6C25EF94" w:rsidR="00883A5D" w:rsidRDefault="00883A5D">
    <w:pPr>
      <w:pStyle w:val="Header"/>
    </w:pPr>
    <w:r>
      <w:tab/>
    </w:r>
    <w:r>
      <w:tab/>
      <w:t>AVCDL-Foundation-9.1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92187">
    <w:abstractNumId w:val="2"/>
  </w:num>
  <w:num w:numId="2" w16cid:durableId="1446844991">
    <w:abstractNumId w:val="1"/>
  </w:num>
  <w:num w:numId="3" w16cid:durableId="785123377">
    <w:abstractNumId w:val="3"/>
  </w:num>
  <w:num w:numId="4" w16cid:durableId="1273393924">
    <w:abstractNumId w:val="0"/>
  </w:num>
  <w:num w:numId="5" w16cid:durableId="569387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42744"/>
    <w:rsid w:val="000605E5"/>
    <w:rsid w:val="000B56BA"/>
    <w:rsid w:val="000F522F"/>
    <w:rsid w:val="001157F5"/>
    <w:rsid w:val="0012103F"/>
    <w:rsid w:val="00142223"/>
    <w:rsid w:val="0016616B"/>
    <w:rsid w:val="00212F89"/>
    <w:rsid w:val="00216F3D"/>
    <w:rsid w:val="00216FF3"/>
    <w:rsid w:val="00264ACB"/>
    <w:rsid w:val="002C4173"/>
    <w:rsid w:val="002E5D1C"/>
    <w:rsid w:val="00300B42"/>
    <w:rsid w:val="003263B9"/>
    <w:rsid w:val="003D12F6"/>
    <w:rsid w:val="00402AB2"/>
    <w:rsid w:val="0040539E"/>
    <w:rsid w:val="004738ED"/>
    <w:rsid w:val="00487D23"/>
    <w:rsid w:val="00501FB0"/>
    <w:rsid w:val="0052179F"/>
    <w:rsid w:val="00555BB9"/>
    <w:rsid w:val="005B1248"/>
    <w:rsid w:val="005E58FD"/>
    <w:rsid w:val="005F3EF1"/>
    <w:rsid w:val="00620E4B"/>
    <w:rsid w:val="006272E7"/>
    <w:rsid w:val="00634735"/>
    <w:rsid w:val="00661810"/>
    <w:rsid w:val="006F139D"/>
    <w:rsid w:val="00795567"/>
    <w:rsid w:val="007963DB"/>
    <w:rsid w:val="007D0B70"/>
    <w:rsid w:val="007D3008"/>
    <w:rsid w:val="00816A2B"/>
    <w:rsid w:val="008305E9"/>
    <w:rsid w:val="00866A81"/>
    <w:rsid w:val="00883A5D"/>
    <w:rsid w:val="0094238D"/>
    <w:rsid w:val="00987F92"/>
    <w:rsid w:val="009E0739"/>
    <w:rsid w:val="00A05205"/>
    <w:rsid w:val="00A43B3E"/>
    <w:rsid w:val="00A4591D"/>
    <w:rsid w:val="00A820BD"/>
    <w:rsid w:val="00AB0D47"/>
    <w:rsid w:val="00AF4B09"/>
    <w:rsid w:val="00B7156C"/>
    <w:rsid w:val="00BB59E3"/>
    <w:rsid w:val="00BD64D1"/>
    <w:rsid w:val="00BE3E48"/>
    <w:rsid w:val="00C125C8"/>
    <w:rsid w:val="00C25549"/>
    <w:rsid w:val="00C42DB3"/>
    <w:rsid w:val="00D129E8"/>
    <w:rsid w:val="00D20E80"/>
    <w:rsid w:val="00D42605"/>
    <w:rsid w:val="00D63216"/>
    <w:rsid w:val="00DF0895"/>
    <w:rsid w:val="00E54CE4"/>
    <w:rsid w:val="00E81D26"/>
    <w:rsid w:val="00E97DAD"/>
    <w:rsid w:val="00F20068"/>
    <w:rsid w:val="00F66F92"/>
    <w:rsid w:val="00F85912"/>
    <w:rsid w:val="00FC4354"/>
    <w:rsid w:val="00FD3913"/>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D0B70"/>
    <w:rPr>
      <w:color w:val="800080" w:themeColor="followedHyperlink"/>
      <w:u w:val="single"/>
    </w:rPr>
  </w:style>
  <w:style w:type="paragraph" w:styleId="Header">
    <w:name w:val="header"/>
    <w:basedOn w:val="Normal"/>
    <w:link w:val="HeaderChar"/>
    <w:uiPriority w:val="99"/>
    <w:unhideWhenUsed/>
    <w:rsid w:val="00C42DB3"/>
    <w:pPr>
      <w:tabs>
        <w:tab w:val="center" w:pos="4680"/>
        <w:tab w:val="right" w:pos="9360"/>
      </w:tabs>
      <w:spacing w:line="240" w:lineRule="auto"/>
    </w:pPr>
  </w:style>
  <w:style w:type="character" w:customStyle="1" w:styleId="HeaderChar">
    <w:name w:val="Header Char"/>
    <w:basedOn w:val="DefaultParagraphFont"/>
    <w:link w:val="Header"/>
    <w:uiPriority w:val="99"/>
    <w:rsid w:val="00C42DB3"/>
  </w:style>
  <w:style w:type="paragraph" w:styleId="Footer">
    <w:name w:val="footer"/>
    <w:basedOn w:val="Normal"/>
    <w:link w:val="FooterChar"/>
    <w:uiPriority w:val="99"/>
    <w:unhideWhenUsed/>
    <w:rsid w:val="00C42DB3"/>
    <w:pPr>
      <w:tabs>
        <w:tab w:val="center" w:pos="4680"/>
        <w:tab w:val="right" w:pos="9360"/>
      </w:tabs>
      <w:spacing w:line="240" w:lineRule="auto"/>
    </w:pPr>
  </w:style>
  <w:style w:type="character" w:customStyle="1" w:styleId="FooterChar">
    <w:name w:val="Footer Char"/>
    <w:basedOn w:val="DefaultParagraphFont"/>
    <w:link w:val="Footer"/>
    <w:uiPriority w:val="99"/>
    <w:rsid w:val="00C42DB3"/>
  </w:style>
  <w:style w:type="character" w:styleId="PageNumber">
    <w:name w:val="page number"/>
    <w:basedOn w:val="DefaultParagraphFont"/>
    <w:uiPriority w:val="99"/>
    <w:semiHidden/>
    <w:unhideWhenUsed/>
    <w:rsid w:val="00C4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nvlpubs.nist.gov/nistpubs/Legacy/SP/nistspecialpublication800-39.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zenodo.org/record/1188418/files/EVITAD2.3v1.1.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rst.org/cv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ocument_management_system" TargetMode="External"/><Relationship Id="rId20" Type="http://schemas.openxmlformats.org/officeDocument/2006/relationships/hyperlink" Target="https://www.fda.gov/regulatory-information/search-fda-guidance-documents/postmarket-management-cybersecurity-medical-de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nvlpubs.nist.gov/nistpubs/Legacy/SP/nistspecialpublication800-30r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Threat Prioritization Plan</vt:lpstr>
    </vt:vector>
  </TitlesOfParts>
  <Manager/>
  <Company>Motional</Company>
  <LinksUpToDate>false</LinksUpToDate>
  <CharactersWithSpaces>6883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14</cp:revision>
  <cp:lastPrinted>2021-12-07T12:58:00Z</cp:lastPrinted>
  <dcterms:created xsi:type="dcterms:W3CDTF">2022-05-26T15:56:00Z</dcterms:created>
  <dcterms:modified xsi:type="dcterms:W3CDTF">2023-10-02T14:47:00Z</dcterms:modified>
  <cp:category/>
</cp:coreProperties>
</file>